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6"/>
          <w:szCs w:val="36"/>
          <w:b w:val="1"/>
          <w:bCs w:val="1"/>
          <w:color w:val="auto"/>
        </w:rPr>
        <w:t>FORM 8-K</w:t>
      </w:r>
    </w:p>
    <w:p>
      <w:pPr>
        <w:spacing w:after="0" w:line="189"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71"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30"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October 29, 2026</w:t>
      </w:r>
    </w:p>
    <w:p>
      <w:pPr>
        <w:spacing w:after="0" w:line="117"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Date of Report</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(Date of earliest event reported)</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6"/>
          <w:szCs w:val="36"/>
          <w:b w:val="1"/>
          <w:bCs w:val="1"/>
          <w:color w:val="auto"/>
        </w:rPr>
        <w:t>AGCO CORPORATION</w:t>
      </w:r>
    </w:p>
    <w:p>
      <w:pPr>
        <w:spacing w:after="0" w:line="2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393" w:right="499" w:bottom="1440" w:gutter="0" w:footer="0" w:header="0"/>
        </w:sectPr>
      </w:pPr>
    </w:p>
    <w:p>
      <w:pPr>
        <w:spacing w:after="0" w:line="120"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b w:val="1"/>
          <w:bCs w:val="1"/>
          <w:color w:val="auto"/>
        </w:rPr>
        <w:t>001-12930</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58-1960019</w:t>
      </w:r>
    </w:p>
    <w:p>
      <w:pPr>
        <w:spacing w:after="0" w:line="52" w:lineRule="exact"/>
        <w:rPr>
          <w:sz w:val="24"/>
          <w:szCs w:val="24"/>
          <w:color w:val="auto"/>
        </w:rPr>
      </w:pPr>
    </w:p>
    <w:p>
      <w:pPr>
        <w:sectPr>
          <w:pgSz w:w="11900" w:h="16838" w:orient="portrait"/>
          <w:cols w:equalWidth="0" w:num="3">
            <w:col w:w="4360" w:space="720"/>
            <w:col w:w="2860" w:space="720"/>
            <w:col w:w="2420"/>
          </w:cols>
          <w:pgMar w:left="320" w:top="1393" w:right="499" w:bottom="1440" w:gutter="0" w:footer="0" w:header="0"/>
          <w:type w:val="continuous"/>
        </w:sectPr>
      </w:pPr>
    </w:p>
    <w:p>
      <w:pPr>
        <w:ind w:left="320"/>
        <w:spacing w:after="0"/>
        <w:rPr>
          <w:sz w:val="20"/>
          <w:szCs w:val="20"/>
          <w:color w:val="auto"/>
        </w:rPr>
      </w:pPr>
      <w:r>
        <w:rPr>
          <w:rFonts w:ascii="Times New Roman" w:cs="Times New Roman" w:eastAsia="Times New Roman" w:hAnsi="Times New Roman"/>
          <w:sz w:val="17"/>
          <w:szCs w:val="17"/>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9" w:lineRule="exact"/>
        <w:rPr>
          <w:sz w:val="24"/>
          <w:szCs w:val="24"/>
          <w:color w:val="auto"/>
        </w:rPr>
      </w:pPr>
    </w:p>
    <w:p>
      <w:pPr>
        <w:sectPr>
          <w:pgSz w:w="11900" w:h="16838" w:orient="portrait"/>
          <w:cols w:equalWidth="0" w:num="3">
            <w:col w:w="3760" w:space="720"/>
            <w:col w:w="2580" w:space="720"/>
            <w:col w:w="3300"/>
          </w:cols>
          <w:pgMar w:left="320" w:top="1393" w:right="499" w:bottom="1440" w:gutter="0" w:footer="0" w:header="0"/>
          <w:type w:val="continuous"/>
        </w:sectPr>
      </w:pPr>
    </w:p>
    <w:p>
      <w:pPr>
        <w:ind w:left="1480"/>
        <w:spacing w:after="0"/>
        <w:rPr>
          <w:sz w:val="20"/>
          <w:szCs w:val="20"/>
          <w:color w:val="auto"/>
        </w:rPr>
      </w:pPr>
      <w:r>
        <w:rPr>
          <w:rFonts w:ascii="Times New Roman" w:cs="Times New Roman" w:eastAsia="Times New Roman" w:hAnsi="Times New Roman"/>
          <w:sz w:val="18"/>
          <w:szCs w:val="18"/>
          <w:color w:val="auto"/>
        </w:rPr>
        <w:t>organization)</w:t>
      </w:r>
    </w:p>
    <w:p>
      <w:pPr>
        <w:sectPr>
          <w:pgSz w:w="11900" w:h="16838" w:orient="portrait"/>
          <w:cols w:equalWidth="0" w:num="1">
            <w:col w:w="11080"/>
          </w:cols>
          <w:pgMar w:left="320" w:top="1393" w:right="499" w:bottom="1440" w:gutter="0" w:footer="0" w:header="0"/>
          <w:type w:val="continuous"/>
        </w:sectPr>
      </w:pPr>
    </w:p>
    <w:p>
      <w:pPr>
        <w:spacing w:after="0" w:line="31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4205 River Green Parkway</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Duluth, Georgia 30096</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0"/>
          <w:szCs w:val="20"/>
          <w:b w:val="1"/>
          <w:bCs w:val="1"/>
          <w:color w:val="auto"/>
        </w:rPr>
        <w:t>770 813-9200</w:t>
      </w:r>
    </w:p>
    <w:p>
      <w:pPr>
        <w:spacing w:after="0" w:line="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860" w:hanging="204"/>
        <w:spacing w:after="0"/>
        <w:tabs>
          <w:tab w:leader="none" w:pos="8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5" w:lineRule="exact"/>
        <w:rPr>
          <w:rFonts w:ascii="MS PGothic" w:cs="MS PGothic" w:eastAsia="MS PGothic" w:hAnsi="MS PGothic"/>
          <w:sz w:val="18"/>
          <w:szCs w:val="18"/>
          <w:color w:val="auto"/>
        </w:rPr>
      </w:pPr>
    </w:p>
    <w:p>
      <w:pPr>
        <w:ind w:left="880" w:hanging="224"/>
        <w:spacing w:after="0"/>
        <w:tabs>
          <w:tab w:leader="none" w:pos="8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ectPr>
          <w:pgSz w:w="11900" w:h="16838" w:orient="portrait"/>
          <w:cols w:equalWidth="0" w:num="1">
            <w:col w:w="11080"/>
          </w:cols>
          <w:pgMar w:left="320" w:top="1393" w:right="499" w:bottom="1440" w:gutter="0" w:footer="0" w:header="0"/>
          <w:type w:val="continuous"/>
        </w:sectPr>
      </w:pPr>
    </w:p>
    <w:p>
      <w:pPr>
        <w:spacing w:after="0" w:line="391" w:lineRule="exact"/>
        <w:rPr>
          <w:sz w:val="24"/>
          <w:szCs w:val="24"/>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Title of Class</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4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Trading Symbol</w:t>
      </w:r>
    </w:p>
    <w:p>
      <w:pPr>
        <w:spacing w:after="0" w:line="20" w:lineRule="exact"/>
        <w:rPr>
          <w:sz w:val="24"/>
          <w:szCs w:val="24"/>
          <w:color w:val="auto"/>
        </w:rPr>
      </w:pPr>
      <w:r>
        <w:rPr>
          <w:sz w:val="24"/>
          <w:szCs w:val="24"/>
          <w:color w:val="auto"/>
        </w:rPr>
        <w:br w:type="column"/>
      </w:r>
    </w:p>
    <w:p>
      <w:pPr>
        <w:spacing w:after="0" w:line="37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Name of exchange on which registered</w:t>
      </w:r>
    </w:p>
    <w:p>
      <w:pPr>
        <w:spacing w:after="0" w:line="51" w:lineRule="exact"/>
        <w:rPr>
          <w:sz w:val="24"/>
          <w:szCs w:val="24"/>
          <w:color w:val="auto"/>
        </w:rPr>
      </w:pPr>
    </w:p>
    <w:p>
      <w:pPr>
        <w:sectPr>
          <w:pgSz w:w="11900" w:h="16838" w:orient="portrait"/>
          <w:cols w:equalWidth="0" w:num="3">
            <w:col w:w="2740" w:space="720"/>
            <w:col w:w="4340" w:space="100"/>
            <w:col w:w="3180"/>
          </w:cols>
          <w:pgMar w:left="320" w:top="1393" w:right="49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AGCO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New York Stock Exchange</w:t>
      </w:r>
    </w:p>
    <w:p>
      <w:pPr>
        <w:spacing w:after="0" w:line="211" w:lineRule="exact"/>
        <w:rPr>
          <w:sz w:val="24"/>
          <w:szCs w:val="24"/>
          <w:color w:val="auto"/>
        </w:rPr>
      </w:pPr>
    </w:p>
    <w:p>
      <w:pPr>
        <w:sectPr>
          <w:pgSz w:w="11900" w:h="16838" w:orient="portrait"/>
          <w:cols w:equalWidth="0" w:num="3">
            <w:col w:w="4640" w:space="720"/>
            <w:col w:w="2320" w:space="720"/>
            <w:col w:w="2680"/>
          </w:cols>
          <w:pgMar w:left="320" w:top="1393" w:right="499" w:bottom="1440" w:gutter="0" w:footer="0" w:header="0"/>
          <w:type w:val="continuous"/>
        </w:sectPr>
      </w:pPr>
    </w:p>
    <w:p>
      <w:pPr>
        <w:spacing w:after="0" w:line="147"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231F20"/>
        </w:rPr>
        <w:t xml:space="preserve">Emerging growth company </w:t>
      </w:r>
      <w:r>
        <w:rPr>
          <w:rFonts w:ascii="MS PGothic" w:cs="MS PGothic" w:eastAsia="MS PGothic" w:hAnsi="MS PGothic"/>
          <w:sz w:val="18"/>
          <w:szCs w:val="18"/>
          <w:color w:val="000000"/>
        </w:rPr>
        <w:t>☐</w:t>
      </w:r>
    </w:p>
    <w:p>
      <w:pPr>
        <w:spacing w:after="0" w:line="29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393" w:right="499" w:bottom="1440" w:gutter="0" w:footer="0" w:header="0"/>
          <w:type w:val="continuous"/>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2.02.</w:t>
      </w:r>
      <w:r>
        <w:rPr>
          <w:sz w:val="20"/>
          <w:szCs w:val="20"/>
          <w:color w:val="auto"/>
        </w:rPr>
        <w:tab/>
      </w:r>
      <w:r>
        <w:rPr>
          <w:rFonts w:ascii="Times New Roman" w:cs="Times New Roman" w:eastAsia="Times New Roman" w:hAnsi="Times New Roman"/>
          <w:sz w:val="19"/>
          <w:szCs w:val="19"/>
          <w:b w:val="1"/>
          <w:bCs w:val="1"/>
          <w:color w:val="auto"/>
        </w:rPr>
        <w:t>Results of Operations and Financial Condition.</w:t>
      </w:r>
    </w:p>
    <w:p>
      <w:pPr>
        <w:spacing w:after="0" w:line="260"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20"/>
          <w:szCs w:val="20"/>
          <w:color w:val="auto"/>
        </w:rPr>
        <w:t>On October 29, 2026, AGCO Corporation (“AGCO” or the “Company”) issued a press release reporting its financial results for the third quarter ended September 30, 2026. A copy of the press release is attached hereto as Exhibit 99.1.</w:t>
      </w:r>
    </w:p>
    <w:p>
      <w:pPr>
        <w:spacing w:after="0" w:line="200"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In the press release, AGCO uses non-GAAP financial measures. For purposes of SEC Regulation G, a “non-GAAP financial measure” is a numerical measure of a registrant’s historical or future performance, financial position or cash flows that excludes amounts, or is subject to adjustments that have the effect of excluding amounts, that are included in the most directly comparable measure calculated and presented in accordance with GAAP in the statement of income, balance sheet or statement of cash flows of the issuer; or includes amounts, or is subject to adjustments that have the effect of including amounts, that are excluded from the most directly comparable measure so calculated and presented. Non-GAAP financial measures should not be considered as alternatives to operating income, operating margin, net income attributable to AGCO, net income per share attributable to AGCO, cash flows from operating activities and net sales as computed under GAAP for the applicable period. AGCO has included, as part of the press release, a reconciliation of the non-GAAP financial measures to the most directly comparable GAAP financial measure. AGCO does not provide a quantitative reconciliation of forward-looking, non-GAAP financial measures to the most directly comparable GAAP financial measure because it is difficult to reliably predict or estimate the relevant components without unreasonable effort due to future uncertainties that may potentially have a significant impact on such calculations and providing them may imply a degree of precision that would be confusing or potentially misleading.</w:t>
      </w:r>
    </w:p>
    <w:p>
      <w:pPr>
        <w:spacing w:after="0" w:line="22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AGCO provides income from operations, operating margin, net income and net income per share amounts that have been adjusted to exclude restructuring and business optimization expenses, amortization expense related to intangible assets acquired as part of the Company's acquisition of PTx Trimble and impairment charges. Restructuring expenses occur regularly in AGCO’s business, but vary in size and frequency. Business optimization expenses primarily relate to professional services costs incurred as part of the restructuring program aimed at reducing structural costs, enhancing global efficiencies by changing the Company’s operating model for certain corporate and back-office functions. Amortization expense related to the PTx Trimble acquired intangibles is impacted by the valuation and size of the acquisition. Impairment charges vary in size and frequency. AGCO believes these adjustments provide management and investors with greater visibility to the underlying performance of AGCO’s recurring core business operations. During the nine months ended September 30, 2026, AGCO recorded transaction costs related to the Company’s divestiture of the majority of its Grain &amp; Protein (“G&amp;P”) business and the impacts related to a divestiture-related foreign currency translation release. AGCO recorded a discrete net tax expense related to a legal entity reorganization during the three and nine months ended September 30, 2026. Additionally, AGCO recorded discrete tax items related to a refund received following a favorable resolution of a prior settlement under the Brazilian government’s “Litigation Zero” tax amnesty program during the nine months ended September 30, 2026. AGCO has provided income from operations, operating margin, net income and net income per share amounts that have been adjusted to exclude these restructuring and business optimization expenses, amortization of PTx Trimble acquired intangible assets, impairment charges, transaction-related costs, a divestiture-related foreign currency translation release and discrete tax items. Adjusted operating margin is defined as the ratio of adjusted income from operations divided by net sales. During the three and nine months ended September 30, 2025, AGCO recorded transaction costs related to the Company's formation of the PTx Trimble joint venture and the divestiture of the majority of the Company's G&amp;P business. The Company recorded a loss on sale of business during the nine months ended September 30, 2025 related to the finalization of the preliminary working capital and other adjustments related to the divestiture of the majority of the Company's G&amp;P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880745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2" w:name="page3"/>
    <w:bookmarkEnd w:id="2"/>
    <w:p>
      <w:pPr>
        <w:ind w:right="40"/>
        <w:spacing w:after="0" w:line="266" w:lineRule="auto"/>
        <w:rPr>
          <w:sz w:val="20"/>
          <w:szCs w:val="20"/>
          <w:color w:val="auto"/>
        </w:rPr>
      </w:pPr>
      <w:r>
        <w:rPr>
          <w:rFonts w:ascii="Times New Roman" w:cs="Times New Roman" w:eastAsia="Times New Roman" w:hAnsi="Times New Roman"/>
          <w:sz w:val="19"/>
          <w:szCs w:val="19"/>
          <w:color w:val="auto"/>
        </w:rPr>
        <w:t>business. During the three and nine months ended September 30, 2025, AGCO recorded a gain on sale of investment in affiliate related to the sale of the Company's ownership interest in Tractors and Farm Equipment Limited (“TAFE”). Additionally, AGCO recorded a discrete net tax benefit related to a legal entity reorganization during the three and nine months ended September 30, 2025. AGCO has provided income from operations, operating margin, net income and net income per share amounts that have been adjusted to exclude these restructuring and business optimization expenses, amortization of PTx Trimble acquired intangibles, impairment charges, transaction-related costs, loss on sale of business, gain on sale of investment in affiliate and discrete tax items. AGCO believes that the adjusted amounts during the three and nine months ended September 30, 2026 and 2025 provide management and investors useful information as these items that are excluded relate to events that resulted in a significant impact during these quarters and may not be expected to recur in the future.</w:t>
      </w:r>
    </w:p>
    <w:p>
      <w:pPr>
        <w:spacing w:after="0" w:line="209" w:lineRule="exact"/>
        <w:rPr>
          <w:sz w:val="20"/>
          <w:szCs w:val="20"/>
          <w:color w:val="auto"/>
        </w:rPr>
      </w:pPr>
    </w:p>
    <w:p>
      <w:pPr>
        <w:ind w:right="420"/>
        <w:spacing w:after="0" w:line="269" w:lineRule="auto"/>
        <w:rPr>
          <w:sz w:val="20"/>
          <w:szCs w:val="20"/>
          <w:color w:val="auto"/>
        </w:rPr>
      </w:pPr>
      <w:r>
        <w:rPr>
          <w:rFonts w:ascii="Times New Roman" w:cs="Times New Roman" w:eastAsia="Times New Roman" w:hAnsi="Times New Roman"/>
          <w:sz w:val="20"/>
          <w:szCs w:val="20"/>
          <w:color w:val="auto"/>
        </w:rPr>
        <w:t>AGCO further provides net sales amounts that have been adjusted to exclude the impact of currency translation. AGCO believes that the adjusted amounts provide management and investors useful information to better analyze the causes of changes between periods.</w:t>
      </w:r>
    </w:p>
    <w:p>
      <w:pPr>
        <w:spacing w:after="0" w:line="20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9"/>
          <w:szCs w:val="19"/>
          <w:color w:val="auto"/>
        </w:rPr>
        <w:t>AGCO’s management historically has focused on the generation of cash flow in order to reduce indebtedness and for other corporate purposes. Management uses free cash flow and free cash flow conversion to assess its performance in this area. Free cash flow is defined as net cash provided by (used in) operating activities less purchases of property, plant and equipment. Free cash flow conversion is defined as net cash provided by operating activities less purchases of property, plant and equipment divided by adjusted net income as defined previously. AGCO believes that free cash flow and free cash flow conversion provide a meaningful measure to investors because, unlike cash flow from operations, it includes the impact of capital expenditures, and therefore, provides a more complete picture of cash generation.</w:t>
      </w:r>
    </w:p>
    <w:p>
      <w:pPr>
        <w:spacing w:after="0" w:line="205" w:lineRule="exact"/>
        <w:rPr>
          <w:sz w:val="20"/>
          <w:szCs w:val="20"/>
          <w:color w:val="auto"/>
        </w:rPr>
      </w:pPr>
    </w:p>
    <w:p>
      <w:pPr>
        <w:jc w:val="both"/>
        <w:ind w:right="240"/>
        <w:spacing w:after="0" w:line="247" w:lineRule="auto"/>
        <w:rPr>
          <w:sz w:val="20"/>
          <w:szCs w:val="20"/>
          <w:color w:val="auto"/>
        </w:rPr>
      </w:pPr>
      <w:r>
        <w:rPr>
          <w:rFonts w:ascii="Times New Roman" w:cs="Times New Roman" w:eastAsia="Times New Roman" w:hAnsi="Times New Roman"/>
          <w:sz w:val="20"/>
          <w:szCs w:val="20"/>
          <w:color w:val="auto"/>
        </w:rPr>
        <w:t>The information in this Form 8-K and the Exhibit shall not be deemed “filed” for purposes of Section 18 of the Securities Exchange Act of 1934, as amended, nor shall it be deemed incorporated by reference in any filing of AGCO under the Securities Act of 1933, as amended, except as shall be expressly set forth by specific reference in such filing.</w:t>
      </w:r>
    </w:p>
    <w:p>
      <w:pPr>
        <w:spacing w:after="0" w:line="204"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940" w:type="dxa"/>
            <w:vAlign w:val="bottom"/>
            <w:gridSpan w:val="4"/>
          </w:tcPr>
          <w:p>
            <w:pPr>
              <w:jc w:val="right"/>
              <w:ind w:right="2000"/>
              <w:spacing w:after="0"/>
              <w:rPr>
                <w:sz w:val="20"/>
                <w:szCs w:val="20"/>
                <w:color w:val="auto"/>
              </w:rPr>
            </w:pPr>
            <w:r>
              <w:rPr>
                <w:rFonts w:ascii="Times New Roman" w:cs="Times New Roman" w:eastAsia="Times New Roman" w:hAnsi="Times New Roman"/>
                <w:sz w:val="20"/>
                <w:szCs w:val="20"/>
                <w:color w:val="auto"/>
                <w:w w:val="96"/>
              </w:rPr>
              <w:t>(d) Exhibits</w:t>
            </w:r>
          </w:p>
        </w:tc>
        <w:tc>
          <w:tcPr>
            <w:tcW w:w="2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3360" w:type="dxa"/>
            <w:vAlign w:val="bottom"/>
          </w:tcPr>
          <w:p>
            <w:pPr>
              <w:spacing w:after="0"/>
              <w:rPr>
                <w:sz w:val="22"/>
                <w:szCs w:val="22"/>
                <w:color w:val="auto"/>
              </w:rPr>
            </w:pPr>
          </w:p>
        </w:tc>
      </w:tr>
      <w:tr>
        <w:trPr>
          <w:trHeight w:val="382"/>
        </w:trPr>
        <w:tc>
          <w:tcPr>
            <w:tcW w:w="20" w:type="dxa"/>
            <w:vAlign w:val="bottom"/>
          </w:tcPr>
          <w:p>
            <w:pPr>
              <w:spacing w:after="0"/>
              <w:rPr>
                <w:sz w:val="24"/>
                <w:szCs w:val="24"/>
                <w:color w:val="auto"/>
              </w:rPr>
            </w:pPr>
          </w:p>
        </w:tc>
        <w:tc>
          <w:tcPr>
            <w:tcW w:w="2920" w:type="dxa"/>
            <w:vAlign w:val="bottom"/>
            <w:gridSpan w:val="3"/>
          </w:tcPr>
          <w:p>
            <w:pPr>
              <w:jc w:val="right"/>
              <w:ind w:right="2000"/>
              <w:spacing w:after="0"/>
              <w:rPr>
                <w:sz w:val="20"/>
                <w:szCs w:val="20"/>
                <w:color w:val="auto"/>
              </w:rPr>
            </w:pPr>
            <w:r>
              <w:rPr>
                <w:rFonts w:ascii="Times New Roman" w:cs="Times New Roman" w:eastAsia="Times New Roman" w:hAnsi="Times New Roman"/>
                <w:sz w:val="20"/>
                <w:szCs w:val="20"/>
                <w:color w:val="auto"/>
                <w:w w:val="96"/>
              </w:rPr>
              <w:t>Exhibit No.</w:t>
            </w:r>
          </w:p>
        </w:tc>
        <w:tc>
          <w:tcPr>
            <w:tcW w:w="830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Description</w:t>
            </w:r>
          </w:p>
        </w:tc>
      </w:tr>
      <w:tr>
        <w:trPr>
          <w:trHeight w:val="294"/>
        </w:trPr>
        <w:tc>
          <w:tcPr>
            <w:tcW w:w="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99.</w:t>
            </w:r>
            <w:r>
              <w:rPr>
                <w:rFonts w:ascii="Times New Roman" w:cs="Times New Roman" w:eastAsia="Times New Roman" w:hAnsi="Times New Roman"/>
                <w:sz w:val="20"/>
                <w:szCs w:val="20"/>
                <w:u w:val="single" w:color="auto"/>
                <w:color w:val="0000FF"/>
                <w:w w:val="96"/>
              </w:rPr>
              <w:t>1</w:t>
            </w:r>
          </w:p>
        </w:tc>
        <w:tc>
          <w:tcPr>
            <w:tcW w:w="23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3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0000FF"/>
              </w:rPr>
              <w:t>Press Release of AGCO Corporation, issued October 29, 2026</w:t>
            </w: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20" w:type="dxa"/>
            <w:vAlign w:val="bottom"/>
            <w:shd w:val="clear" w:color="auto" w:fill="0000FF"/>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2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30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Cover Page Interactive Data File - the cover page from this current report on Form 8-K is formatted in</w:t>
            </w:r>
          </w:p>
        </w:tc>
      </w:tr>
      <w:tr>
        <w:trPr>
          <w:trHeight w:val="258"/>
        </w:trPr>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30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Inline XBRL.</w:t>
            </w:r>
          </w:p>
        </w:tc>
      </w:tr>
      <w:tr>
        <w:trPr>
          <w:trHeight w:val="1743"/>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60" w:lineRule="exact"/>
        <w:rPr>
          <w:sz w:val="20"/>
          <w:szCs w:val="20"/>
          <w:color w:val="auto"/>
        </w:rPr>
      </w:pPr>
    </w:p>
    <w:p>
      <w:pPr>
        <w:ind w:firstLine="198"/>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5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color w:val="auto"/>
        </w:rPr>
        <w:t>AGCO Corporation</w:t>
      </w:r>
    </w:p>
    <w:p>
      <w:pPr>
        <w:spacing w:after="0" w:line="297" w:lineRule="exact"/>
        <w:rPr>
          <w:sz w:val="20"/>
          <w:szCs w:val="20"/>
          <w:color w:val="auto"/>
        </w:rPr>
      </w:pPr>
    </w:p>
    <w:p>
      <w:pPr>
        <w:ind w:left="4140"/>
        <w:spacing w:after="0"/>
        <w:tabs>
          <w:tab w:leader="none" w:pos="77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Indira Agarwal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22860</wp:posOffset>
            </wp:positionV>
            <wp:extent cx="34632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5"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20"/>
          <w:szCs w:val="20"/>
          <w:color w:val="auto"/>
        </w:rPr>
        <w:t>Indira Agarwal</w:t>
      </w:r>
    </w:p>
    <w:p>
      <w:pPr>
        <w:jc w:val="center"/>
        <w:ind w:left="5780"/>
        <w:spacing w:after="0" w:line="211" w:lineRule="auto"/>
        <w:rPr>
          <w:sz w:val="20"/>
          <w:szCs w:val="20"/>
          <w:color w:val="auto"/>
        </w:rPr>
      </w:pPr>
      <w:r>
        <w:rPr>
          <w:rFonts w:ascii="Times New Roman" w:cs="Times New Roman" w:eastAsia="Times New Roman" w:hAnsi="Times New Roman"/>
          <w:sz w:val="20"/>
          <w:szCs w:val="20"/>
          <w:color w:val="auto"/>
        </w:rPr>
        <w:t>Senior Vice President and</w:t>
      </w:r>
    </w:p>
    <w:p>
      <w:pPr>
        <w:ind w:left="7600"/>
        <w:spacing w:after="0"/>
        <w:rPr>
          <w:sz w:val="20"/>
          <w:szCs w:val="20"/>
          <w:color w:val="auto"/>
        </w:rPr>
      </w:pPr>
      <w:r>
        <w:rPr>
          <w:rFonts w:ascii="Times New Roman" w:cs="Times New Roman" w:eastAsia="Times New Roman" w:hAnsi="Times New Roman"/>
          <w:sz w:val="20"/>
          <w:szCs w:val="20"/>
          <w:color w:val="auto"/>
        </w:rPr>
        <w:t>Chief Financial Officer</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October 29, 2026</w:t>
      </w:r>
    </w:p>
    <w:p>
      <w:pPr>
        <w:sectPr>
          <w:pgSz w:w="11900" w:h="16838" w:orient="portrait"/>
          <w:cols w:equalWidth="0" w:num="1">
            <w:col w:w="11220"/>
          </w:cols>
          <w:pgMar w:left="320" w:top="1440"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1148715" cy="419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48715"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60"/>
        <w:spacing w:after="0"/>
        <w:rPr>
          <w:sz w:val="20"/>
          <w:szCs w:val="20"/>
          <w:color w:val="auto"/>
        </w:rPr>
      </w:pPr>
      <w:r>
        <w:rPr>
          <w:rFonts w:ascii="Arial" w:cs="Arial" w:eastAsia="Arial" w:hAnsi="Arial"/>
          <w:sz w:val="22"/>
          <w:szCs w:val="22"/>
          <w:b w:val="1"/>
          <w:bCs w:val="1"/>
          <w:u w:val="single" w:color="auto"/>
          <w:color w:val="auto"/>
        </w:rPr>
        <w:t>NEWS RELEASE</w:t>
      </w:r>
    </w:p>
    <w:p>
      <w:pPr>
        <w:spacing w:after="0" w:line="140"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6740" w:type="dxa"/>
            <w:vAlign w:val="bottom"/>
          </w:tcPr>
          <w:p>
            <w:pPr>
              <w:spacing w:after="0"/>
              <w:rPr>
                <w:sz w:val="19"/>
                <w:szCs w:val="19"/>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For Immediate Release</w:t>
            </w:r>
          </w:p>
        </w:tc>
      </w:tr>
      <w:tr>
        <w:trPr>
          <w:trHeight w:val="20"/>
        </w:trPr>
        <w:tc>
          <w:tcPr>
            <w:tcW w:w="674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05"/>
        </w:trPr>
        <w:tc>
          <w:tcPr>
            <w:tcW w:w="6740" w:type="dxa"/>
            <w:vAlign w:val="bottom"/>
          </w:tcPr>
          <w:p>
            <w:pPr>
              <w:spacing w:after="0"/>
              <w:rPr>
                <w:sz w:val="24"/>
                <w:szCs w:val="24"/>
                <w:color w:val="auto"/>
              </w:rPr>
            </w:pPr>
          </w:p>
        </w:tc>
        <w:tc>
          <w:tcPr>
            <w:tcW w:w="2800" w:type="dxa"/>
            <w:vAlign w:val="bottom"/>
            <w:gridSpan w:val="2"/>
          </w:tcPr>
          <w:p>
            <w:pPr>
              <w:spacing w:after="0"/>
              <w:rPr>
                <w:sz w:val="20"/>
                <w:szCs w:val="20"/>
                <w:color w:val="auto"/>
              </w:rPr>
            </w:pPr>
            <w:r>
              <w:rPr>
                <w:rFonts w:ascii="Times New Roman" w:cs="Times New Roman" w:eastAsia="Times New Roman" w:hAnsi="Times New Roman"/>
                <w:sz w:val="20"/>
                <w:szCs w:val="20"/>
                <w:i w:val="1"/>
                <w:iCs w:val="1"/>
                <w:color w:val="auto"/>
              </w:rPr>
              <w:t>Thursday, October 29, 2026</w:t>
            </w:r>
          </w:p>
        </w:tc>
      </w:tr>
      <w:tr>
        <w:trPr>
          <w:trHeight w:val="580"/>
        </w:trPr>
        <w:tc>
          <w:tcPr>
            <w:tcW w:w="67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INVESTOR CONTACT:</w:t>
            </w:r>
          </w:p>
        </w:tc>
        <w:tc>
          <w:tcPr>
            <w:tcW w:w="28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MEDIA CONTACT:</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Greg Peterson</w:t>
            </w:r>
          </w:p>
        </w:tc>
        <w:tc>
          <w:tcPr>
            <w:tcW w:w="2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Rachel Potts</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VP, Investor Relations</w:t>
            </w:r>
          </w:p>
        </w:tc>
        <w:tc>
          <w:tcPr>
            <w:tcW w:w="280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7"/>
              </w:rPr>
              <w:t>VP, Chief Communications Officer</w:t>
            </w: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404-403-6042</w:t>
            </w:r>
          </w:p>
        </w:tc>
        <w:tc>
          <w:tcPr>
            <w:tcW w:w="1960" w:type="dxa"/>
            <w:vAlign w:val="bottom"/>
          </w:tcPr>
          <w:p>
            <w:pPr>
              <w:spacing w:after="0"/>
              <w:rPr>
                <w:sz w:val="20"/>
                <w:szCs w:val="20"/>
                <w:color w:val="auto"/>
              </w:rPr>
            </w:pPr>
            <w:r>
              <w:rPr>
                <w:rFonts w:ascii="Times New Roman" w:cs="Times New Roman" w:eastAsia="Times New Roman" w:hAnsi="Times New Roman"/>
                <w:sz w:val="20"/>
                <w:szCs w:val="20"/>
                <w:color w:val="auto"/>
              </w:rPr>
              <w:t>678-654-7719</w:t>
            </w:r>
          </w:p>
        </w:tc>
        <w:tc>
          <w:tcPr>
            <w:tcW w:w="840" w:type="dxa"/>
            <w:vAlign w:val="bottom"/>
          </w:tcPr>
          <w:p>
            <w:pPr>
              <w:spacing w:after="0"/>
              <w:rPr>
                <w:sz w:val="23"/>
                <w:szCs w:val="23"/>
                <w:color w:val="auto"/>
              </w:rPr>
            </w:pPr>
          </w:p>
        </w:tc>
      </w:tr>
      <w:tr>
        <w:trPr>
          <w:trHeight w:val="270"/>
        </w:trPr>
        <w:tc>
          <w:tcPr>
            <w:tcW w:w="6740" w:type="dxa"/>
            <w:vAlign w:val="bottom"/>
          </w:tcPr>
          <w:p>
            <w:pPr>
              <w:spacing w:after="0"/>
              <w:rPr>
                <w:sz w:val="20"/>
                <w:szCs w:val="20"/>
                <w:color w:val="auto"/>
              </w:rPr>
            </w:pPr>
            <w:r>
              <w:rPr>
                <w:rFonts w:ascii="Times New Roman" w:cs="Times New Roman" w:eastAsia="Times New Roman" w:hAnsi="Times New Roman"/>
                <w:sz w:val="20"/>
                <w:szCs w:val="20"/>
                <w:color w:val="auto"/>
              </w:rPr>
              <w:t>greg.peterson@agcocorp.com</w:t>
            </w:r>
          </w:p>
        </w:tc>
        <w:tc>
          <w:tcPr>
            <w:tcW w:w="28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rachel.potts@agcocorp.com</w:t>
            </w:r>
          </w:p>
        </w:tc>
      </w:tr>
    </w:tbl>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AGCO REPORTS THIRD-QUARTER RESULTS</w:t>
      </w:r>
    </w:p>
    <w:p>
      <w:pPr>
        <w:spacing w:after="0" w:line="21" w:lineRule="exact"/>
        <w:rPr>
          <w:sz w:val="20"/>
          <w:szCs w:val="20"/>
          <w:color w:val="auto"/>
        </w:rPr>
      </w:pPr>
    </w:p>
    <w:p>
      <w:pPr>
        <w:ind w:left="1040" w:hanging="222"/>
        <w:spacing w:after="0"/>
        <w:tabs>
          <w:tab w:leader="none" w:pos="10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sales of $2.3 billion, down 8.6% year-over-year</w:t>
      </w:r>
    </w:p>
    <w:p>
      <w:pPr>
        <w:spacing w:after="0" w:line="6" w:lineRule="exact"/>
        <w:rPr>
          <w:rFonts w:ascii="Times New Roman" w:cs="Times New Roman" w:eastAsia="Times New Roman" w:hAnsi="Times New Roman"/>
          <w:sz w:val="20"/>
          <w:szCs w:val="20"/>
          <w:color w:val="auto"/>
        </w:rPr>
      </w:pPr>
    </w:p>
    <w:p>
      <w:pPr>
        <w:ind w:left="1040" w:hanging="222"/>
        <w:spacing w:after="0" w:line="214" w:lineRule="auto"/>
        <w:tabs>
          <w:tab w:leader="none" w:pos="10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Reported earnings per share of $0.75 and adjusted earnings per share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of $1.05</w:t>
      </w:r>
    </w:p>
    <w:p>
      <w:pPr>
        <w:ind w:left="1040" w:hanging="222"/>
        <w:spacing w:after="0"/>
        <w:tabs>
          <w:tab w:leader="none" w:pos="10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Full-year adjusted earnings per share outlook of approximately $5.50</w:t>
      </w:r>
    </w:p>
    <w:p>
      <w:pPr>
        <w:spacing w:after="0" w:line="234" w:lineRule="exact"/>
        <w:rPr>
          <w:sz w:val="20"/>
          <w:szCs w:val="20"/>
          <w:color w:val="auto"/>
        </w:rPr>
      </w:pPr>
    </w:p>
    <w:p>
      <w:pPr>
        <w:ind w:right="40" w:firstLine="198"/>
        <w:spacing w:after="0" w:line="244" w:lineRule="auto"/>
        <w:rPr>
          <w:sz w:val="20"/>
          <w:szCs w:val="20"/>
          <w:color w:val="auto"/>
        </w:rPr>
      </w:pPr>
      <w:r>
        <w:rPr>
          <w:rFonts w:ascii="Times New Roman" w:cs="Times New Roman" w:eastAsia="Times New Roman" w:hAnsi="Times New Roman"/>
          <w:sz w:val="20"/>
          <w:szCs w:val="20"/>
          <w:color w:val="auto"/>
        </w:rPr>
        <w:t>DULUTH, GA – October 29 – AGCO (NYSE: AGCO) reported net sales of $2.3 billion for the third quarter ended September 30, 2026, a decrease of 8.6% compared to the third quarter of 2025. Reported net income was $0.75 per share for the quarter and adjusted net income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20"/>
          <w:szCs w:val="20"/>
          <w:color w:val="auto"/>
        </w:rPr>
        <w:t xml:space="preserve"> was $1.05 per share. These results compare to reported net income of $4.09 per share and adjusted net income</w:t>
      </w:r>
      <w:r>
        <w:rPr>
          <w:rFonts w:ascii="Times New Roman" w:cs="Times New Roman" w:eastAsia="Times New Roman" w:hAnsi="Times New Roman"/>
          <w:sz w:val="11"/>
          <w:szCs w:val="11"/>
          <w:color w:val="auto"/>
        </w:rPr>
        <w:t>(1)</w:t>
      </w:r>
      <w:r>
        <w:rPr>
          <w:rFonts w:ascii="Times New Roman" w:cs="Times New Roman" w:eastAsia="Times New Roman" w:hAnsi="Times New Roman"/>
          <w:sz w:val="20"/>
          <w:szCs w:val="20"/>
          <w:color w:val="auto"/>
        </w:rPr>
        <w:t xml:space="preserve"> of $1.35 per share for the third quarter of 2025. Excluding favorable foreign currency translation of 0.1%, net sales in the quarter decreased 8.7% compared to the third quarter of 2025.</w:t>
      </w:r>
    </w:p>
    <w:p>
      <w:pPr>
        <w:spacing w:after="0" w:line="227" w:lineRule="exact"/>
        <w:rPr>
          <w:sz w:val="20"/>
          <w:szCs w:val="20"/>
          <w:color w:val="auto"/>
        </w:rPr>
      </w:pPr>
    </w:p>
    <w:p>
      <w:pPr>
        <w:ind w:right="60" w:firstLine="198"/>
        <w:spacing w:after="0" w:line="270" w:lineRule="auto"/>
        <w:rPr>
          <w:sz w:val="20"/>
          <w:szCs w:val="20"/>
          <w:color w:val="auto"/>
        </w:rPr>
      </w:pPr>
      <w:r>
        <w:rPr>
          <w:rFonts w:ascii="Times New Roman" w:cs="Times New Roman" w:eastAsia="Times New Roman" w:hAnsi="Times New Roman"/>
          <w:sz w:val="19"/>
          <w:szCs w:val="19"/>
          <w:color w:val="auto"/>
        </w:rPr>
        <w:t>“AGCO delivered resilient third-quarter results in what is the weakest global industry demand environment in more than a decade,” said Eric Hansotia, AGCO’s Chairman, President and CEO. “While elevated input costs and uncertainty around commodity markets and the trade environment pushed industry demand below the last cyclical trough, we aligned production with demand, managed dealer inventories and maintained cost discipline. We also advanced our Farmer-First strategy by strengthening the market position of our premium brands and expanding precision agriculture solutions that help farmers automate tasks, address labor constraints and get more from their equipment.”</w:t>
      </w:r>
    </w:p>
    <w:p>
      <w:pPr>
        <w:spacing w:after="0" w:line="202" w:lineRule="exact"/>
        <w:rPr>
          <w:sz w:val="20"/>
          <w:szCs w:val="20"/>
          <w:color w:val="auto"/>
        </w:rPr>
      </w:pPr>
    </w:p>
    <w:p>
      <w:pPr>
        <w:ind w:right="20" w:firstLine="198"/>
        <w:spacing w:after="0" w:line="253" w:lineRule="auto"/>
        <w:rPr>
          <w:sz w:val="20"/>
          <w:szCs w:val="20"/>
          <w:color w:val="auto"/>
        </w:rPr>
      </w:pPr>
      <w:r>
        <w:rPr>
          <w:rFonts w:ascii="Times New Roman" w:cs="Times New Roman" w:eastAsia="Times New Roman" w:hAnsi="Times New Roman"/>
          <w:sz w:val="20"/>
          <w:szCs w:val="20"/>
          <w:color w:val="auto"/>
        </w:rPr>
        <w:t>Hansotia continued, “Lower farm income and uncertainty across global agricultural markets continued to weigh on farmer sentiment, with conditions softening further in EME and Latin America. We remain focused on what we can control: helping farmers improve their economics while strengthening our cost structure. Our fuel-efficient tractors, AI-enabled targeted spraying systems and autonomous solutions are designed to lower operating costs and improve returns for farmers. These actions are helping us navigate current conditions and position AGCO for the recovery.”</w:t>
      </w:r>
    </w:p>
    <w:p>
      <w:pPr>
        <w:spacing w:after="0" w:line="219" w:lineRule="exact"/>
        <w:rPr>
          <w:sz w:val="20"/>
          <w:szCs w:val="20"/>
          <w:color w:val="auto"/>
        </w:rPr>
      </w:pPr>
    </w:p>
    <w:p>
      <w:pPr>
        <w:ind w:right="60" w:firstLine="198"/>
        <w:spacing w:after="0" w:line="250" w:lineRule="auto"/>
        <w:rPr>
          <w:sz w:val="20"/>
          <w:szCs w:val="20"/>
          <w:color w:val="auto"/>
        </w:rPr>
      </w:pPr>
      <w:r>
        <w:rPr>
          <w:rFonts w:ascii="Times New Roman" w:cs="Times New Roman" w:eastAsia="Times New Roman" w:hAnsi="Times New Roman"/>
          <w:sz w:val="19"/>
          <w:szCs w:val="19"/>
          <w:color w:val="auto"/>
        </w:rPr>
        <w:t>Net sales for the first nine months of 2026 were approximately $7.2 billion, an increase of 0.7% compared to the same period in 2025. For the first nine months of 2026, reported net income was $2.59 per share and adjusted net income</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9"/>
          <w:szCs w:val="19"/>
          <w:color w:val="auto"/>
        </w:rPr>
        <w:t xml:space="preserve"> was $3.42 per share. These results compare to reported net income of $8.45 per share and adjusted net income</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9"/>
          <w:szCs w:val="19"/>
          <w:color w:val="auto"/>
        </w:rPr>
        <w:t xml:space="preserve"> of $3.11 per share for the same period in 2025. Excluding favorable foreign currency translation of 3.4%, net sales in the first nine months of 2026 decreased 2.7% compared to the same period in 2025.</w:t>
      </w:r>
    </w:p>
    <w:p>
      <w:pPr>
        <w:sectPr>
          <w:pgSz w:w="11900" w:h="16838" w:orient="portrait"/>
          <w:cols w:equalWidth="0" w:num="1">
            <w:col w:w="11240"/>
          </w:cols>
          <w:pgMar w:left="320" w:top="95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0"/>
          <w:szCs w:val="20"/>
          <w:b w:val="1"/>
          <w:bCs w:val="1"/>
          <w:i w:val="1"/>
          <w:iCs w:val="1"/>
          <w:color w:val="auto"/>
        </w:rPr>
        <w:t>Third Quarter Highlights</w:t>
      </w:r>
    </w:p>
    <w:p>
      <w:pPr>
        <w:spacing w:after="0" w:line="32" w:lineRule="exact"/>
        <w:rPr>
          <w:sz w:val="20"/>
          <w:szCs w:val="20"/>
          <w:color w:val="auto"/>
        </w:rPr>
      </w:pPr>
    </w:p>
    <w:p>
      <w:pPr>
        <w:ind w:left="820" w:right="480" w:hanging="326"/>
        <w:spacing w:after="0" w:line="229" w:lineRule="auto"/>
        <w:tabs>
          <w:tab w:leader="none" w:pos="80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Reported regional sales results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20"/>
          <w:szCs w:val="20"/>
          <w:color w:val="auto"/>
        </w:rPr>
        <w:t>: Europe/Middle East (“EME”) (19.1)%, North America +34.8%, Latin America (“LATAM”) (15.4)%, Asia/Pacific/Africa (“APA”) +13.8%</w:t>
      </w:r>
    </w:p>
    <w:p>
      <w:pPr>
        <w:ind w:left="800" w:hanging="306"/>
        <w:spacing w:after="0" w:line="214" w:lineRule="auto"/>
        <w:tabs>
          <w:tab w:leader="none" w:pos="8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Constant currency regional sales results</w:t>
      </w:r>
      <w:r>
        <w:rPr>
          <w:rFonts w:ascii="Times New Roman" w:cs="Times New Roman" w:eastAsia="Times New Roman" w:hAnsi="Times New Roman"/>
          <w:sz w:val="23"/>
          <w:szCs w:val="23"/>
          <w:color w:val="auto"/>
          <w:vertAlign w:val="superscript"/>
        </w:rPr>
        <w:t>(1)(2)(3)</w:t>
      </w:r>
      <w:r>
        <w:rPr>
          <w:rFonts w:ascii="Times New Roman" w:cs="Times New Roman" w:eastAsia="Times New Roman" w:hAnsi="Times New Roman"/>
          <w:sz w:val="20"/>
          <w:szCs w:val="20"/>
          <w:color w:val="auto"/>
        </w:rPr>
        <w:t>: EME (18.1)%, North America +35.1%, LATAM (19.1)%, APA +9.2%</w:t>
      </w:r>
    </w:p>
    <w:p>
      <w:pPr>
        <w:ind w:left="800" w:hanging="306"/>
        <w:spacing w:after="0"/>
        <w:tabs>
          <w:tab w:leader="none" w:pos="8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Regional operating margin performance: EME 10.5%, North America 2.8%, LATAM 2.5%, APA 13.9%</w:t>
      </w:r>
    </w:p>
    <w:p>
      <w:pPr>
        <w:spacing w:after="0" w:line="208" w:lineRule="exact"/>
        <w:rPr>
          <w:sz w:val="20"/>
          <w:szCs w:val="20"/>
          <w:color w:val="auto"/>
        </w:rPr>
      </w:pPr>
    </w:p>
    <w:p>
      <w:pPr>
        <w:ind w:left="680" w:hanging="186"/>
        <w:spacing w:after="0"/>
        <w:tabs>
          <w:tab w:leader="none" w:pos="680" w:val="left"/>
        </w:tabs>
        <w:numPr>
          <w:ilvl w:val="0"/>
          <w:numId w:val="4"/>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8"/>
          <w:szCs w:val="18"/>
          <w:i w:val="1"/>
          <w:iCs w:val="1"/>
          <w:color w:val="auto"/>
        </w:rPr>
        <w:t>See reconciliation of non-GAAP measures in appendix.</w:t>
      </w:r>
    </w:p>
    <w:p>
      <w:pPr>
        <w:spacing w:after="0" w:line="1" w:lineRule="exact"/>
        <w:rPr>
          <w:rFonts w:ascii="Times New Roman" w:cs="Times New Roman" w:eastAsia="Times New Roman" w:hAnsi="Times New Roman"/>
          <w:sz w:val="23"/>
          <w:szCs w:val="23"/>
          <w:i w:val="1"/>
          <w:iCs w:val="1"/>
          <w:color w:val="auto"/>
          <w:vertAlign w:val="superscript"/>
        </w:rPr>
      </w:pPr>
    </w:p>
    <w:p>
      <w:pPr>
        <w:ind w:left="660" w:hanging="166"/>
        <w:spacing w:after="0" w:line="213" w:lineRule="auto"/>
        <w:tabs>
          <w:tab w:leader="none" w:pos="660" w:val="left"/>
        </w:tabs>
        <w:numPr>
          <w:ilvl w:val="0"/>
          <w:numId w:val="4"/>
        </w:numPr>
        <w:rPr>
          <w:rFonts w:ascii="Times New Roman" w:cs="Times New Roman" w:eastAsia="Times New Roman" w:hAnsi="Times New Roman"/>
          <w:sz w:val="21"/>
          <w:szCs w:val="21"/>
          <w:i w:val="1"/>
          <w:iCs w:val="1"/>
          <w:color w:val="auto"/>
          <w:vertAlign w:val="superscript"/>
        </w:rPr>
      </w:pPr>
      <w:r>
        <w:rPr>
          <w:rFonts w:ascii="Times New Roman" w:cs="Times New Roman" w:eastAsia="Times New Roman" w:hAnsi="Times New Roman"/>
          <w:sz w:val="16"/>
          <w:szCs w:val="16"/>
          <w:i w:val="1"/>
          <w:iCs w:val="1"/>
          <w:color w:val="auto"/>
        </w:rPr>
        <w:t>As compared to third quarter 2025.</w:t>
      </w:r>
    </w:p>
    <w:p>
      <w:pPr>
        <w:spacing w:after="0" w:line="1" w:lineRule="exact"/>
        <w:rPr>
          <w:rFonts w:ascii="Times New Roman" w:cs="Times New Roman" w:eastAsia="Times New Roman" w:hAnsi="Times New Roman"/>
          <w:sz w:val="21"/>
          <w:szCs w:val="21"/>
          <w:i w:val="1"/>
          <w:iCs w:val="1"/>
          <w:color w:val="auto"/>
          <w:vertAlign w:val="superscript"/>
        </w:rPr>
      </w:pPr>
    </w:p>
    <w:p>
      <w:pPr>
        <w:ind w:left="680" w:hanging="186"/>
        <w:spacing w:after="0" w:line="194" w:lineRule="auto"/>
        <w:tabs>
          <w:tab w:leader="none" w:pos="680" w:val="left"/>
        </w:tabs>
        <w:numPr>
          <w:ilvl w:val="0"/>
          <w:numId w:val="4"/>
        </w:numPr>
        <w:rPr>
          <w:rFonts w:ascii="Times New Roman" w:cs="Times New Roman" w:eastAsia="Times New Roman" w:hAnsi="Times New Roman"/>
          <w:sz w:val="23"/>
          <w:szCs w:val="23"/>
          <w:i w:val="1"/>
          <w:iCs w:val="1"/>
          <w:color w:val="auto"/>
          <w:vertAlign w:val="superscript"/>
        </w:rPr>
      </w:pPr>
      <w:r>
        <w:rPr>
          <w:rFonts w:ascii="Times New Roman" w:cs="Times New Roman" w:eastAsia="Times New Roman" w:hAnsi="Times New Roman"/>
          <w:sz w:val="18"/>
          <w:szCs w:val="18"/>
          <w:i w:val="1"/>
          <w:iCs w:val="1"/>
          <w:color w:val="auto"/>
        </w:rPr>
        <w:t>Excludes currency translation impact.</w:t>
      </w:r>
    </w:p>
    <w:p>
      <w:pPr>
        <w:spacing w:after="0" w:line="221" w:lineRule="exact"/>
        <w:rPr>
          <w:sz w:val="20"/>
          <w:szCs w:val="20"/>
          <w:color w:val="auto"/>
        </w:rPr>
      </w:pPr>
    </w:p>
    <w:p>
      <w:pPr>
        <w:ind w:right="60" w:firstLine="198"/>
        <w:spacing w:after="0" w:line="253" w:lineRule="auto"/>
        <w:rPr>
          <w:sz w:val="20"/>
          <w:szCs w:val="20"/>
          <w:color w:val="auto"/>
        </w:rPr>
      </w:pPr>
      <w:r>
        <w:rPr>
          <w:rFonts w:ascii="Times New Roman" w:cs="Times New Roman" w:eastAsia="Times New Roman" w:hAnsi="Times New Roman"/>
          <w:sz w:val="20"/>
          <w:szCs w:val="20"/>
          <w:color w:val="auto"/>
        </w:rPr>
        <w:t>Hansotia concluded, “The long-term fundamentals supporting global agriculture remain intact, driven by rising food demand and the need for greater on-farm productivity. Through PTx, farmers can add automation, autonomy and other advanced capabilities to existing equipment across virtually any brand, gaining the benefits of the latest technology without purchasing an entirely new machine. Together with our premium equipment brands, this differentiated strategy positions AGCO to create value through the cycle and capture growth as market conditions improve.”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Update</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2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Industry Unit Retail Sales</w:t>
            </w:r>
          </w:p>
        </w:tc>
      </w:tr>
      <w:tr>
        <w:trPr>
          <w:trHeight w:val="237"/>
        </w:trPr>
        <w:tc>
          <w:tcPr>
            <w:tcW w:w="7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Tractors</w:t>
            </w:r>
          </w:p>
        </w:tc>
        <w:tc>
          <w:tcPr>
            <w:tcW w:w="100" w:type="dxa"/>
            <w:vAlign w:val="bottom"/>
          </w:tcPr>
          <w:p>
            <w:pPr>
              <w:spacing w:after="0"/>
              <w:rPr>
                <w:sz w:val="20"/>
                <w:szCs w:val="20"/>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Combines</w:t>
            </w:r>
          </w:p>
        </w:tc>
      </w:tr>
      <w:tr>
        <w:trPr>
          <w:trHeight w:val="183"/>
        </w:trPr>
        <w:tc>
          <w:tcPr>
            <w:tcW w:w="7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2"/>
          </w:tcPr>
          <w:p>
            <w:pPr>
              <w:jc w:val="center"/>
              <w:ind w:right="100"/>
              <w:spacing w:after="0" w:line="182" w:lineRule="exact"/>
              <w:rPr>
                <w:sz w:val="20"/>
                <w:szCs w:val="20"/>
                <w:color w:val="auto"/>
              </w:rPr>
            </w:pPr>
            <w:r>
              <w:rPr>
                <w:rFonts w:ascii="Times New Roman" w:cs="Times New Roman" w:eastAsia="Times New Roman" w:hAnsi="Times New Roman"/>
                <w:sz w:val="18"/>
                <w:szCs w:val="18"/>
                <w:color w:val="auto"/>
              </w:rPr>
              <w:t>Change from</w:t>
            </w:r>
          </w:p>
        </w:tc>
        <w:tc>
          <w:tcPr>
            <w:tcW w:w="17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Change from</w:t>
            </w:r>
          </w:p>
        </w:tc>
      </w:tr>
      <w:tr>
        <w:trPr>
          <w:trHeight w:val="243"/>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 2026</w:t>
            </w:r>
          </w:p>
        </w:tc>
        <w:tc>
          <w:tcPr>
            <w:tcW w:w="100" w:type="dxa"/>
            <w:vAlign w:val="bottom"/>
            <w:tcBorders>
              <w:bottom w:val="single" w:sz="8" w:color="CCEEFF"/>
            </w:tcBorders>
          </w:tcPr>
          <w:p>
            <w:pPr>
              <w:spacing w:after="0"/>
              <w:rPr>
                <w:sz w:val="21"/>
                <w:szCs w:val="21"/>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Prior Year Period</w:t>
            </w:r>
          </w:p>
        </w:tc>
        <w:tc>
          <w:tcPr>
            <w:tcW w:w="100" w:type="dxa"/>
            <w:vAlign w:val="bottom"/>
            <w:tcBorders>
              <w:bottom w:val="single" w:sz="8" w:color="CCEEFF"/>
            </w:tcBorders>
          </w:tcPr>
          <w:p>
            <w:pPr>
              <w:spacing w:after="0"/>
              <w:rPr>
                <w:sz w:val="21"/>
                <w:szCs w:val="21"/>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Prior Year Period</w:t>
            </w:r>
          </w:p>
        </w:tc>
      </w:tr>
      <w:tr>
        <w:trPr>
          <w:trHeight w:val="237"/>
        </w:trPr>
        <w:tc>
          <w:tcPr>
            <w:tcW w:w="7620" w:type="dxa"/>
            <w:vAlign w:val="bottom"/>
            <w:gridSpan w:val="2"/>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North America</w:t>
            </w:r>
            <w:r>
              <w:rPr>
                <w:rFonts w:ascii="Times New Roman" w:cs="Times New Roman" w:eastAsia="Times New Roman" w:hAnsi="Times New Roman"/>
                <w:sz w:val="21"/>
                <w:szCs w:val="21"/>
                <w:color w:val="auto"/>
                <w:vertAlign w:val="superscript"/>
              </w:rPr>
              <w:t>(4)</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100" w:type="dxa"/>
            <w:vAlign w:val="bottom"/>
            <w:shd w:val="clear" w:color="auto" w:fill="CCEEFF"/>
          </w:tcPr>
          <w:p>
            <w:pPr>
              <w:spacing w:after="0"/>
              <w:rPr>
                <w:sz w:val="20"/>
                <w:szCs w:val="20"/>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r>
      <w:tr>
        <w:trPr>
          <w:trHeight w:val="243"/>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Brazil</w:t>
            </w:r>
            <w:r>
              <w:rPr>
                <w:rFonts w:ascii="Times New Roman" w:cs="Times New Roman" w:eastAsia="Times New Roman" w:hAnsi="Times New Roman"/>
                <w:sz w:val="21"/>
                <w:szCs w:val="21"/>
                <w:color w:val="auto"/>
                <w:vertAlign w:val="superscript"/>
              </w:rPr>
              <w:t>(5)</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(17)%</w:t>
            </w:r>
          </w:p>
        </w:tc>
        <w:tc>
          <w:tcPr>
            <w:tcW w:w="100" w:type="dxa"/>
            <w:vAlign w:val="bottom"/>
          </w:tcPr>
          <w:p>
            <w:pPr>
              <w:spacing w:after="0"/>
              <w:rPr>
                <w:sz w:val="21"/>
                <w:szCs w:val="21"/>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(38)%</w:t>
            </w:r>
          </w:p>
        </w:tc>
      </w:tr>
      <w:tr>
        <w:trPr>
          <w:trHeight w:val="243"/>
        </w:trPr>
        <w:tc>
          <w:tcPr>
            <w:tcW w:w="7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Western Europe</w:t>
            </w:r>
            <w:r>
              <w:rPr>
                <w:rFonts w:ascii="Times New Roman" w:cs="Times New Roman" w:eastAsia="Times New Roman" w:hAnsi="Times New Roman"/>
                <w:sz w:val="21"/>
                <w:szCs w:val="21"/>
                <w:color w:val="auto"/>
                <w:vertAlign w:val="superscript"/>
              </w:rPr>
              <w:t>(5)</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00" w:type="dxa"/>
            <w:vAlign w:val="bottom"/>
            <w:shd w:val="clear" w:color="auto" w:fill="CCEEFF"/>
          </w:tcPr>
          <w:p>
            <w:pPr>
              <w:spacing w:after="0"/>
              <w:rPr>
                <w:sz w:val="21"/>
                <w:szCs w:val="21"/>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r>
    </w:tbl>
    <w:p>
      <w:pPr>
        <w:spacing w:after="0" w:line="302" w:lineRule="exact"/>
        <w:rPr>
          <w:sz w:val="20"/>
          <w:szCs w:val="20"/>
          <w:color w:val="auto"/>
        </w:rPr>
      </w:pPr>
    </w:p>
    <w:p>
      <w:pPr>
        <w:ind w:left="160" w:hanging="152"/>
        <w:spacing w:after="0"/>
        <w:tabs>
          <w:tab w:leader="none" w:pos="160" w:val="left"/>
        </w:tabs>
        <w:numPr>
          <w:ilvl w:val="0"/>
          <w:numId w:val="5"/>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Excludes compact tractors.</w:t>
      </w:r>
    </w:p>
    <w:p>
      <w:pPr>
        <w:spacing w:after="0" w:line="10" w:lineRule="exact"/>
        <w:rPr>
          <w:rFonts w:ascii="Times New Roman" w:cs="Times New Roman" w:eastAsia="Times New Roman" w:hAnsi="Times New Roman"/>
          <w:sz w:val="19"/>
          <w:szCs w:val="19"/>
          <w:i w:val="1"/>
          <w:iCs w:val="1"/>
          <w:color w:val="auto"/>
          <w:vertAlign w:val="superscript"/>
        </w:rPr>
      </w:pPr>
    </w:p>
    <w:p>
      <w:pPr>
        <w:ind w:left="160" w:hanging="152"/>
        <w:spacing w:after="0" w:line="211" w:lineRule="auto"/>
        <w:tabs>
          <w:tab w:leader="none" w:pos="160" w:val="left"/>
        </w:tabs>
        <w:numPr>
          <w:ilvl w:val="0"/>
          <w:numId w:val="5"/>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Based on Company estimates.</w:t>
      </w:r>
    </w:p>
    <w:p>
      <w:pPr>
        <w:spacing w:after="0" w:line="213" w:lineRule="exact"/>
        <w:rPr>
          <w:sz w:val="20"/>
          <w:szCs w:val="20"/>
          <w:color w:val="auto"/>
        </w:rPr>
      </w:pPr>
    </w:p>
    <w:p>
      <w:pPr>
        <w:ind w:right="120" w:firstLine="198"/>
        <w:spacing w:after="0" w:line="253" w:lineRule="auto"/>
        <w:rPr>
          <w:sz w:val="20"/>
          <w:szCs w:val="20"/>
          <w:color w:val="auto"/>
        </w:rPr>
      </w:pPr>
      <w:r>
        <w:rPr>
          <w:rFonts w:ascii="Times New Roman" w:cs="Times New Roman" w:eastAsia="Times New Roman" w:hAnsi="Times New Roman"/>
          <w:sz w:val="20"/>
          <w:szCs w:val="20"/>
          <w:color w:val="auto"/>
        </w:rPr>
        <w:t>North American industry retail tractor sales were 9% lower in the first nine months of 2026 compared to the same period in 2025 with the largest change occurring in higher-horsepower categories. Combine unit sales were 10% lower year-over-year during the same period. Commodity prices and evolving conditions surrounding trade and export demand continued to influence farm profitability. As a result, farmers remained cautious with spending, and industry demand is expected to remain below historical mid-cycle levels through the remainder of 2026.</w:t>
      </w:r>
    </w:p>
    <w:p>
      <w:pPr>
        <w:spacing w:after="0" w:line="219" w:lineRule="exact"/>
        <w:rPr>
          <w:sz w:val="20"/>
          <w:szCs w:val="20"/>
          <w:color w:val="auto"/>
        </w:rPr>
      </w:pPr>
    </w:p>
    <w:p>
      <w:pPr>
        <w:ind w:right="40" w:firstLine="198"/>
        <w:spacing w:after="0" w:line="261" w:lineRule="auto"/>
        <w:rPr>
          <w:sz w:val="20"/>
          <w:szCs w:val="20"/>
          <w:color w:val="auto"/>
        </w:rPr>
      </w:pPr>
      <w:r>
        <w:rPr>
          <w:rFonts w:ascii="Times New Roman" w:cs="Times New Roman" w:eastAsia="Times New Roman" w:hAnsi="Times New Roman"/>
          <w:sz w:val="20"/>
          <w:szCs w:val="20"/>
          <w:color w:val="auto"/>
        </w:rPr>
        <w:t>Brazil industry retail tractor sales were 17% lower in the first nine months of 2026 compared to the same period in 2025 reflecting reduced demand for larger equipment. Farm profitability remained under pressure due to higher interest rates, constrained credit conditions and soft farm economics. Broader economic and policy uncertainty weighed on farmer confidence and led to delayed equipment purchases.</w:t>
      </w:r>
    </w:p>
    <w:p>
      <w:pPr>
        <w:spacing w:after="0" w:line="208" w:lineRule="exact"/>
        <w:rPr>
          <w:sz w:val="20"/>
          <w:szCs w:val="20"/>
          <w:color w:val="auto"/>
        </w:rPr>
      </w:pPr>
    </w:p>
    <w:p>
      <w:pPr>
        <w:ind w:right="60" w:firstLine="194"/>
        <w:spacing w:after="0" w:line="253" w:lineRule="auto"/>
        <w:rPr>
          <w:sz w:val="20"/>
          <w:szCs w:val="20"/>
          <w:color w:val="auto"/>
        </w:rPr>
      </w:pPr>
      <w:r>
        <w:rPr>
          <w:rFonts w:ascii="Times New Roman" w:cs="Times New Roman" w:eastAsia="Times New Roman" w:hAnsi="Times New Roman"/>
          <w:sz w:val="20"/>
          <w:szCs w:val="20"/>
          <w:color w:val="auto"/>
        </w:rPr>
        <w:t>Western Europe industry retail tractor sales were 1% lower during the first nine months of 2026 compared to the same period in 2025 with the third quarter down 9% compared to the third quarter of 2025. Spain, Germany, France and Italy showed the largest third quarter declines. Hot and dry weather across portions of Western Europe created yield variability and weighed on farmer sentiment in the third quarter. While relatively healthy livestock and dairy economics and an aging equipment fleet continue to support replacement demand, softer crop economics, elevated input costs and economic developments have constrained equipment purchasing activity. As a result, industry demand is expected to remain challenged for the remainder of 2026.</w:t>
      </w:r>
    </w:p>
    <w:p>
      <w:pPr>
        <w:sectPr>
          <w:pgSz w:w="11900" w:h="16838" w:orient="portrait"/>
          <w:cols w:equalWidth="0" w:num="1">
            <w:col w:w="11240"/>
          </w:cols>
          <w:pgMar w:left="320" w:top="92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Regional Results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AGCO Regional Net Sales (in millions)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 change from</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change</w:t>
            </w:r>
          </w:p>
        </w:tc>
        <w:tc>
          <w:tcPr>
            <w:tcW w:w="0" w:type="dxa"/>
            <w:vAlign w:val="bottom"/>
          </w:tcPr>
          <w:p>
            <w:pPr>
              <w:spacing w:after="0"/>
              <w:rPr>
                <w:sz w:val="1"/>
                <w:szCs w:val="1"/>
                <w:color w:val="auto"/>
              </w:rPr>
            </w:pPr>
          </w:p>
        </w:tc>
      </w:tr>
      <w:tr>
        <w:trPr>
          <w:trHeight w:val="180"/>
        </w:trPr>
        <w:tc>
          <w:tcPr>
            <w:tcW w:w="4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 change</w:t>
            </w:r>
          </w:p>
        </w:tc>
        <w:tc>
          <w:tcPr>
            <w:tcW w:w="142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8"/>
                <w:szCs w:val="18"/>
                <w:color w:val="auto"/>
              </w:rPr>
              <w:t>2025 due to</w:t>
            </w:r>
          </w:p>
        </w:tc>
        <w:tc>
          <w:tcPr>
            <w:tcW w:w="14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excluding</w:t>
            </w:r>
          </w:p>
        </w:tc>
        <w:tc>
          <w:tcPr>
            <w:tcW w:w="0" w:type="dxa"/>
            <w:vAlign w:val="bottom"/>
          </w:tcPr>
          <w:p>
            <w:pPr>
              <w:spacing w:after="0"/>
              <w:rPr>
                <w:sz w:val="1"/>
                <w:szCs w:val="1"/>
                <w:color w:val="auto"/>
              </w:rPr>
            </w:pPr>
          </w:p>
        </w:tc>
      </w:tr>
      <w:tr>
        <w:trPr>
          <w:trHeight w:val="176"/>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00" w:type="dxa"/>
            <w:vAlign w:val="bottom"/>
            <w:vMerge w:val="restart"/>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2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8"/>
              </w:rPr>
              <w:t>currency</w:t>
            </w:r>
          </w:p>
        </w:tc>
        <w:tc>
          <w:tcPr>
            <w:tcW w:w="14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currency</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from 2025</w:t>
            </w:r>
          </w:p>
        </w:tc>
        <w:tc>
          <w:tcPr>
            <w:tcW w:w="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translation</w:t>
            </w:r>
            <w:r>
              <w:rPr>
                <w:rFonts w:ascii="Times New Roman" w:cs="Times New Roman" w:eastAsia="Times New Roman" w:hAnsi="Times New Roman"/>
                <w:sz w:val="10"/>
                <w:szCs w:val="10"/>
                <w:color w:val="auto"/>
              </w:rPr>
              <w:t>(6)</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translation</w:t>
            </w:r>
          </w:p>
        </w:tc>
        <w:tc>
          <w:tcPr>
            <w:tcW w:w="0" w:type="dxa"/>
            <w:vAlign w:val="bottom"/>
          </w:tcPr>
          <w:p>
            <w:pPr>
              <w:spacing w:after="0"/>
              <w:rPr>
                <w:sz w:val="1"/>
                <w:szCs w:val="1"/>
                <w:color w:val="auto"/>
              </w:rPr>
            </w:pPr>
          </w:p>
        </w:tc>
      </w:tr>
      <w:tr>
        <w:trPr>
          <w:trHeight w:val="237"/>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34.8%</w:t>
            </w:r>
          </w:p>
        </w:tc>
        <w:tc>
          <w:tcPr>
            <w:tcW w:w="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35.1%</w:t>
            </w:r>
          </w:p>
        </w:tc>
        <w:tc>
          <w:tcPr>
            <w:tcW w:w="0" w:type="dxa"/>
            <w:vAlign w:val="bottom"/>
          </w:tcPr>
          <w:p>
            <w:pPr>
              <w:spacing w:after="0"/>
              <w:rPr>
                <w:sz w:val="1"/>
                <w:szCs w:val="1"/>
                <w:color w:val="auto"/>
              </w:rPr>
            </w:pPr>
          </w:p>
        </w:tc>
      </w:tr>
      <w:tr>
        <w:trPr>
          <w:trHeight w:val="24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LATAM</w:t>
            </w:r>
            <w:r>
              <w:rPr>
                <w:rFonts w:ascii="Times New Roman" w:cs="Times New Roman" w:eastAsia="Times New Roman" w:hAnsi="Times New Roman"/>
                <w:sz w:val="10"/>
                <w:szCs w:val="10"/>
                <w:color w:val="auto"/>
              </w:rPr>
              <w:t>(7)</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(15.4)%</w:t>
            </w:r>
          </w:p>
        </w:tc>
        <w:tc>
          <w:tcPr>
            <w:tcW w:w="80" w:type="dxa"/>
            <w:vAlign w:val="bottom"/>
          </w:tcPr>
          <w:p>
            <w:pPr>
              <w:spacing w:after="0"/>
              <w:rPr>
                <w:sz w:val="21"/>
                <w:szCs w:val="21"/>
                <w:color w:val="auto"/>
              </w:rPr>
            </w:pPr>
          </w:p>
        </w:tc>
        <w:tc>
          <w:tcPr>
            <w:tcW w:w="13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(19.1)%</w:t>
            </w:r>
          </w:p>
        </w:tc>
        <w:tc>
          <w:tcPr>
            <w:tcW w:w="0" w:type="dxa"/>
            <w:vAlign w:val="bottom"/>
          </w:tcPr>
          <w:p>
            <w:pPr>
              <w:spacing w:after="0"/>
              <w:rPr>
                <w:sz w:val="1"/>
                <w:szCs w:val="1"/>
                <w:color w:val="auto"/>
              </w:rPr>
            </w:pPr>
          </w:p>
        </w:tc>
      </w:tr>
      <w:tr>
        <w:trPr>
          <w:trHeight w:val="243"/>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1,613.8</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(19.1)%</w:t>
            </w: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(18.1)%</w:t>
            </w:r>
          </w:p>
        </w:tc>
        <w:tc>
          <w:tcPr>
            <w:tcW w:w="0" w:type="dxa"/>
            <w:vAlign w:val="bottom"/>
          </w:tcPr>
          <w:p>
            <w:pPr>
              <w:spacing w:after="0"/>
              <w:rPr>
                <w:sz w:val="1"/>
                <w:szCs w:val="1"/>
                <w:color w:val="auto"/>
              </w:rPr>
            </w:pPr>
          </w:p>
        </w:tc>
      </w:tr>
      <w:tr>
        <w:trPr>
          <w:trHeight w:val="243"/>
        </w:trPr>
        <w:tc>
          <w:tcPr>
            <w:tcW w:w="4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APA</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13.8%</w:t>
            </w:r>
          </w:p>
        </w:tc>
        <w:tc>
          <w:tcPr>
            <w:tcW w:w="8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jc w:val="right"/>
              <w:ind w:right="37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tcPr>
          <w:p>
            <w:pPr>
              <w:spacing w:after="0"/>
              <w:rPr>
                <w:sz w:val="21"/>
                <w:szCs w:val="21"/>
                <w:color w:val="auto"/>
              </w:rPr>
            </w:pPr>
          </w:p>
        </w:tc>
        <w:tc>
          <w:tcPr>
            <w:tcW w:w="14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62"/>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2,476.3</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 change from</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change</w:t>
            </w:r>
          </w:p>
        </w:tc>
        <w:tc>
          <w:tcPr>
            <w:tcW w:w="0" w:type="dxa"/>
            <w:vAlign w:val="bottom"/>
          </w:tcPr>
          <w:p>
            <w:pPr>
              <w:spacing w:after="0"/>
              <w:rPr>
                <w:sz w:val="1"/>
                <w:szCs w:val="1"/>
                <w:color w:val="auto"/>
              </w:rPr>
            </w:pPr>
          </w:p>
        </w:tc>
      </w:tr>
      <w:tr>
        <w:trPr>
          <w:trHeight w:val="184"/>
        </w:trPr>
        <w:tc>
          <w:tcPr>
            <w:tcW w:w="4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 change</w:t>
            </w:r>
          </w:p>
        </w:tc>
        <w:tc>
          <w:tcPr>
            <w:tcW w:w="142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rPr>
              <w:t>2025 due to</w:t>
            </w: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excluding</w:t>
            </w:r>
          </w:p>
        </w:tc>
        <w:tc>
          <w:tcPr>
            <w:tcW w:w="0" w:type="dxa"/>
            <w:vAlign w:val="bottom"/>
          </w:tcPr>
          <w:p>
            <w:pPr>
              <w:spacing w:after="0"/>
              <w:rPr>
                <w:sz w:val="1"/>
                <w:szCs w:val="1"/>
                <w:color w:val="auto"/>
              </w:rPr>
            </w:pPr>
          </w:p>
        </w:tc>
      </w:tr>
      <w:tr>
        <w:trPr>
          <w:trHeight w:val="180"/>
        </w:trPr>
        <w:tc>
          <w:tcPr>
            <w:tcW w:w="4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100" w:type="dxa"/>
            <w:vAlign w:val="bottom"/>
            <w:vMerge w:val="restart"/>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2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8"/>
                <w:szCs w:val="18"/>
                <w:color w:val="auto"/>
                <w:w w:val="98"/>
              </w:rPr>
              <w:t>currency</w:t>
            </w:r>
          </w:p>
        </w:tc>
        <w:tc>
          <w:tcPr>
            <w:tcW w:w="14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currency</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from 2025</w:t>
            </w:r>
          </w:p>
        </w:tc>
        <w:tc>
          <w:tcPr>
            <w:tcW w:w="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translation</w:t>
            </w:r>
            <w:r>
              <w:rPr>
                <w:rFonts w:ascii="Times New Roman" w:cs="Times New Roman" w:eastAsia="Times New Roman" w:hAnsi="Times New Roman"/>
                <w:sz w:val="10"/>
                <w:szCs w:val="10"/>
                <w:color w:val="auto"/>
              </w:rPr>
              <w:t>(6)</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translation</w:t>
            </w:r>
          </w:p>
        </w:tc>
        <w:tc>
          <w:tcPr>
            <w:tcW w:w="0" w:type="dxa"/>
            <w:vAlign w:val="bottom"/>
          </w:tcPr>
          <w:p>
            <w:pPr>
              <w:spacing w:after="0"/>
              <w:rPr>
                <w:sz w:val="1"/>
                <w:szCs w:val="1"/>
                <w:color w:val="auto"/>
              </w:rPr>
            </w:pPr>
          </w:p>
        </w:tc>
      </w:tr>
      <w:tr>
        <w:trPr>
          <w:trHeight w:val="237"/>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1,123.3</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21.4%</w:t>
            </w:r>
          </w:p>
        </w:tc>
        <w:tc>
          <w:tcPr>
            <w:tcW w:w="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21.2%</w:t>
            </w:r>
          </w:p>
        </w:tc>
        <w:tc>
          <w:tcPr>
            <w:tcW w:w="0" w:type="dxa"/>
            <w:vAlign w:val="bottom"/>
          </w:tcPr>
          <w:p>
            <w:pPr>
              <w:spacing w:after="0"/>
              <w:rPr>
                <w:sz w:val="1"/>
                <w:szCs w:val="1"/>
                <w:color w:val="auto"/>
              </w:rPr>
            </w:pPr>
          </w:p>
        </w:tc>
      </w:tr>
      <w:tr>
        <w:trPr>
          <w:trHeight w:val="24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LATAM</w:t>
            </w:r>
            <w:r>
              <w:rPr>
                <w:rFonts w:ascii="Times New Roman" w:cs="Times New Roman" w:eastAsia="Times New Roman" w:hAnsi="Times New Roman"/>
                <w:sz w:val="10"/>
                <w:szCs w:val="10"/>
                <w:color w:val="auto"/>
              </w:rPr>
              <w:t>(7)</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931.9</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(16.8)%</w:t>
            </w:r>
          </w:p>
        </w:tc>
        <w:tc>
          <w:tcPr>
            <w:tcW w:w="80" w:type="dxa"/>
            <w:vAlign w:val="bottom"/>
          </w:tcPr>
          <w:p>
            <w:pPr>
              <w:spacing w:after="0"/>
              <w:rPr>
                <w:sz w:val="21"/>
                <w:szCs w:val="21"/>
                <w:color w:val="auto"/>
              </w:rPr>
            </w:pPr>
          </w:p>
        </w:tc>
        <w:tc>
          <w:tcPr>
            <w:tcW w:w="13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(22.7)%</w:t>
            </w:r>
          </w:p>
        </w:tc>
        <w:tc>
          <w:tcPr>
            <w:tcW w:w="0" w:type="dxa"/>
            <w:vAlign w:val="bottom"/>
          </w:tcPr>
          <w:p>
            <w:pPr>
              <w:spacing w:after="0"/>
              <w:rPr>
                <w:sz w:val="1"/>
                <w:szCs w:val="1"/>
                <w:color w:val="auto"/>
              </w:rPr>
            </w:pPr>
          </w:p>
        </w:tc>
      </w:tr>
      <w:tr>
        <w:trPr>
          <w:trHeight w:val="243"/>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4,719.2</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43"/>
        </w:trPr>
        <w:tc>
          <w:tcPr>
            <w:tcW w:w="4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APA</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00" w:type="dxa"/>
            <w:vAlign w:val="bottom"/>
            <w:tcBorders>
              <w:bottom w:val="single" w:sz="8" w:color="CCEEFF"/>
            </w:tcBorders>
          </w:tcPr>
          <w:p>
            <w:pPr>
              <w:spacing w:after="0"/>
              <w:rPr>
                <w:sz w:val="21"/>
                <w:szCs w:val="21"/>
                <w:color w:val="auto"/>
              </w:rPr>
            </w:pPr>
          </w:p>
        </w:tc>
        <w:tc>
          <w:tcPr>
            <w:tcW w:w="11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12.9%</w:t>
            </w:r>
          </w:p>
        </w:tc>
        <w:tc>
          <w:tcPr>
            <w:tcW w:w="8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jc w:val="right"/>
              <w:ind w:right="37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tcPr>
          <w:p>
            <w:pPr>
              <w:spacing w:after="0"/>
              <w:rPr>
                <w:sz w:val="21"/>
                <w:szCs w:val="21"/>
                <w:color w:val="auto"/>
              </w:rPr>
            </w:pPr>
          </w:p>
        </w:tc>
        <w:tc>
          <w:tcPr>
            <w:tcW w:w="14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62"/>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7,161.8</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4"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1"/>
          <w:szCs w:val="11"/>
          <w:i w:val="1"/>
          <w:iCs w:val="1"/>
          <w:color w:val="auto"/>
        </w:rPr>
      </w:pPr>
      <w:r>
        <w:rPr>
          <w:rFonts w:ascii="Times New Roman" w:cs="Times New Roman" w:eastAsia="Times New Roman" w:hAnsi="Times New Roman"/>
          <w:sz w:val="18"/>
          <w:szCs w:val="18"/>
          <w:i w:val="1"/>
          <w:iCs w:val="1"/>
          <w:color w:val="auto"/>
        </w:rPr>
        <w:t>See reconciliation of non-GAAP measures in appendix.</w:t>
      </w:r>
    </w:p>
    <w:p>
      <w:pPr>
        <w:spacing w:after="0" w:line="29" w:lineRule="exact"/>
        <w:rPr>
          <w:rFonts w:ascii="Times New Roman" w:cs="Times New Roman" w:eastAsia="Times New Roman" w:hAnsi="Times New Roman"/>
          <w:sz w:val="11"/>
          <w:szCs w:val="11"/>
          <w:i w:val="1"/>
          <w:iCs w:val="1"/>
          <w:color w:val="auto"/>
        </w:rPr>
      </w:pPr>
    </w:p>
    <w:p>
      <w:pPr>
        <w:ind w:right="20" w:firstLine="8"/>
        <w:spacing w:after="0" w:line="196" w:lineRule="exact"/>
        <w:tabs>
          <w:tab w:leader="none" w:pos="163" w:val="left"/>
        </w:tabs>
        <w:numPr>
          <w:ilvl w:val="0"/>
          <w:numId w:val="6"/>
        </w:numPr>
        <w:rPr>
          <w:rFonts w:ascii="Times New Roman" w:cs="Times New Roman" w:eastAsia="Times New Roman" w:hAnsi="Times New Roman"/>
          <w:sz w:val="19"/>
          <w:szCs w:val="19"/>
          <w:i w:val="1"/>
          <w:iCs w:val="1"/>
          <w:color w:val="auto"/>
          <w:vertAlign w:val="superscript"/>
        </w:rPr>
      </w:pPr>
      <w:r>
        <w:rPr>
          <w:rFonts w:ascii="Times New Roman" w:cs="Times New Roman" w:eastAsia="Times New Roman" w:hAnsi="Times New Roman"/>
          <w:sz w:val="15"/>
          <w:szCs w:val="15"/>
          <w:i w:val="1"/>
          <w:iCs w:val="1"/>
          <w:color w:val="auto"/>
        </w:rPr>
        <w:t>Effective January 1, 2026, the Company realigned its organizational structure to support its Farmer</w:t>
      </w:r>
      <w:r>
        <w:rPr>
          <w:rFonts w:ascii="MS PGothic" w:cs="MS PGothic" w:eastAsia="MS PGothic" w:hAnsi="MS PGothic"/>
          <w:sz w:val="15"/>
          <w:szCs w:val="15"/>
          <w:i w:val="1"/>
          <w:iCs w:val="1"/>
          <w:color w:val="auto"/>
        </w:rPr>
        <w:t>‑</w:t>
      </w:r>
      <w:r>
        <w:rPr>
          <w:rFonts w:ascii="Times New Roman" w:cs="Times New Roman" w:eastAsia="Times New Roman" w:hAnsi="Times New Roman"/>
          <w:sz w:val="15"/>
          <w:szCs w:val="15"/>
          <w:i w:val="1"/>
          <w:iCs w:val="1"/>
          <w:color w:val="auto"/>
        </w:rPr>
        <w:t>First transformation initiatives in North America. As a result, the Company’s Mexico operations were transferred from the North America segment to the South America segment, which was renamed Latin America. Segment information for all prior periods presented has been retrospectively adjusted to reflect this change.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North America</w:t>
      </w:r>
    </w:p>
    <w:p>
      <w:pPr>
        <w:spacing w:after="0" w:line="260" w:lineRule="exact"/>
        <w:rPr>
          <w:sz w:val="20"/>
          <w:szCs w:val="20"/>
          <w:color w:val="auto"/>
        </w:rPr>
      </w:pPr>
    </w:p>
    <w:p>
      <w:pPr>
        <w:ind w:right="100" w:firstLine="198"/>
        <w:spacing w:after="0" w:line="253" w:lineRule="auto"/>
        <w:rPr>
          <w:sz w:val="20"/>
          <w:szCs w:val="20"/>
          <w:color w:val="auto"/>
        </w:rPr>
      </w:pPr>
      <w:r>
        <w:rPr>
          <w:rFonts w:ascii="Times New Roman" w:cs="Times New Roman" w:eastAsia="Times New Roman" w:hAnsi="Times New Roman"/>
          <w:sz w:val="20"/>
          <w:szCs w:val="20"/>
          <w:color w:val="auto"/>
        </w:rPr>
        <w:t>North American region net sales increased 35.1% during the third quarter of 2026 compared to the third quarter of 2025, excluding the impact of unfavorable currency translation. Higher unit sales across most equipment categories, particularly high-horsepower and mid-range tractors and parts, supported the increase in sales. Income from operations for the third quarter of 2026 was $13.8 million compared to a loss from operations of $42.0 million in the same period in 2025, primarily due to higher sales and production volumes and the benefit of approximately $13.0 million of certain IEEPA tariff refunds recognized during the period.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Latin America</w:t>
      </w:r>
    </w:p>
    <w:p>
      <w:pPr>
        <w:spacing w:after="0" w:line="247" w:lineRule="exact"/>
        <w:rPr>
          <w:sz w:val="20"/>
          <w:szCs w:val="20"/>
          <w:color w:val="auto"/>
        </w:rPr>
      </w:pPr>
    </w:p>
    <w:p>
      <w:pPr>
        <w:jc w:val="both"/>
        <w:ind w:right="180" w:firstLine="198"/>
        <w:spacing w:after="0" w:line="258" w:lineRule="auto"/>
        <w:rPr>
          <w:sz w:val="20"/>
          <w:szCs w:val="20"/>
          <w:color w:val="auto"/>
        </w:rPr>
      </w:pPr>
      <w:r>
        <w:rPr>
          <w:rFonts w:ascii="Times New Roman" w:cs="Times New Roman" w:eastAsia="Times New Roman" w:hAnsi="Times New Roman"/>
          <w:sz w:val="20"/>
          <w:szCs w:val="20"/>
          <w:color w:val="auto"/>
        </w:rPr>
        <w:t>Net sales in the Latin America region decreased 19.1% during the third quarter of 2026 compared to the third quarter of 2025, excluding the impact of favorable currency translation. Softer industry demand resulted in lower sales. Income from operations for the third quarter of 2026 was $13.0 million lower compared to the same period in 2025. This decrease was primarily the result of significantly lower sales and production volumes.</w:t>
      </w:r>
    </w:p>
    <w:p>
      <w:pPr>
        <w:sectPr>
          <w:pgSz w:w="11900" w:h="16838" w:orient="portrait"/>
          <w:cols w:equalWidth="0" w:num="1">
            <w:col w:w="11240"/>
          </w:cols>
          <w:pgMar w:left="320" w:top="92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i w:val="1"/>
          <w:iCs w:val="1"/>
          <w:color w:val="auto"/>
        </w:rPr>
        <w:t>Europe/Middle East</w:t>
      </w:r>
    </w:p>
    <w:p>
      <w:pPr>
        <w:spacing w:after="0" w:line="260" w:lineRule="exact"/>
        <w:rPr>
          <w:sz w:val="20"/>
          <w:szCs w:val="20"/>
          <w:color w:val="auto"/>
        </w:rPr>
      </w:pPr>
    </w:p>
    <w:p>
      <w:pPr>
        <w:ind w:right="280" w:firstLine="198"/>
        <w:spacing w:after="0" w:line="254" w:lineRule="auto"/>
        <w:rPr>
          <w:sz w:val="20"/>
          <w:szCs w:val="20"/>
          <w:color w:val="auto"/>
        </w:rPr>
      </w:pPr>
      <w:r>
        <w:rPr>
          <w:rFonts w:ascii="Times New Roman" w:cs="Times New Roman" w:eastAsia="Times New Roman" w:hAnsi="Times New Roman"/>
          <w:sz w:val="20"/>
          <w:szCs w:val="20"/>
          <w:color w:val="auto"/>
        </w:rPr>
        <w:t>Net sales in the Europe/Middle East region decreased 18.1% during the third quarter of 2026 compared to the third quarter of 2025, excluding the impact of unfavorable currency translation. Sales declines were primarily driven by weaker industry demand, with the most pronounced decreases in Germany, France, Italy and Spain. Income from operations in the third quarter of 2026 was $115.1 million lower compared to the same period in 2025, primarily due to significantly lower sales and production levels.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Asia/Pacific/Africa</w:t>
      </w:r>
    </w:p>
    <w:p>
      <w:pPr>
        <w:spacing w:after="0" w:line="260" w:lineRule="exact"/>
        <w:rPr>
          <w:sz w:val="20"/>
          <w:szCs w:val="20"/>
          <w:color w:val="auto"/>
        </w:rPr>
      </w:pPr>
    </w:p>
    <w:p>
      <w:pPr>
        <w:ind w:firstLine="198"/>
        <w:spacing w:after="0" w:line="254" w:lineRule="auto"/>
        <w:rPr>
          <w:sz w:val="20"/>
          <w:szCs w:val="20"/>
          <w:color w:val="auto"/>
        </w:rPr>
      </w:pPr>
      <w:r>
        <w:rPr>
          <w:rFonts w:ascii="Times New Roman" w:cs="Times New Roman" w:eastAsia="Times New Roman" w:hAnsi="Times New Roman"/>
          <w:sz w:val="20"/>
          <w:szCs w:val="20"/>
          <w:color w:val="auto"/>
        </w:rPr>
        <w:t>Asia/Pacific/Africa region net sales increased 9.2% during the third quarter of 2026 compared to the third quarter of 2025, excluding favorable currency translation impacts. Higher sales in Australia were partially offset by lower sales across many of the Asian and African markets. Income from operations in the third quarter of 2026 was $17.2 million higher compared to the same period in 2025, primarily due to higher sales and a favorable product mix.</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Outlook</w:t>
      </w:r>
    </w:p>
    <w:p>
      <w:pPr>
        <w:spacing w:after="0" w:line="260" w:lineRule="exact"/>
        <w:rPr>
          <w:sz w:val="20"/>
          <w:szCs w:val="20"/>
          <w:color w:val="auto"/>
        </w:rPr>
      </w:pPr>
    </w:p>
    <w:p>
      <w:pPr>
        <w:ind w:right="20" w:firstLine="187"/>
        <w:spacing w:after="0" w:line="253" w:lineRule="auto"/>
        <w:rPr>
          <w:sz w:val="20"/>
          <w:szCs w:val="20"/>
          <w:color w:val="auto"/>
        </w:rPr>
      </w:pPr>
      <w:r>
        <w:rPr>
          <w:rFonts w:ascii="Times New Roman" w:cs="Times New Roman" w:eastAsia="Times New Roman" w:hAnsi="Times New Roman"/>
          <w:sz w:val="20"/>
          <w:szCs w:val="20"/>
          <w:color w:val="auto"/>
        </w:rPr>
        <w:t>AGCO’s net sales for 2026 are expected to be from $9.8 to $10.0 billion. Adjusted operating margins are projected to be about 7.0% reflecting continued emphasis on pricing discipline, cost management and operational alignment. Production volumes are planned to align dealer inventory with market demand, while cost controls and positive pricing continue to support performance. Based on these assumptions, 2026 adjusted earnings per share is targeted at approximately $5.50. These estimates reflect tariff policies as of October 29, 2026, together with AGCO’s established mitigation actions and sourcing strategies. Any changes to tariff policies or related responses could affect these projections.</w:t>
      </w: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 * * * *</w:t>
      </w:r>
    </w:p>
    <w:p>
      <w:pPr>
        <w:spacing w:after="0" w:line="256" w:lineRule="exact"/>
        <w:rPr>
          <w:sz w:val="20"/>
          <w:szCs w:val="20"/>
          <w:color w:val="auto"/>
        </w:rPr>
      </w:pPr>
    </w:p>
    <w:p>
      <w:pPr>
        <w:ind w:right="240" w:firstLine="187"/>
        <w:spacing w:after="0" w:line="254" w:lineRule="auto"/>
        <w:rPr>
          <w:sz w:val="20"/>
          <w:szCs w:val="20"/>
          <w:color w:val="auto"/>
        </w:rPr>
      </w:pPr>
      <w:r>
        <w:rPr>
          <w:rFonts w:ascii="Times New Roman" w:cs="Times New Roman" w:eastAsia="Times New Roman" w:hAnsi="Times New Roman"/>
          <w:sz w:val="20"/>
          <w:szCs w:val="20"/>
          <w:color w:val="auto"/>
        </w:rPr>
        <w:t xml:space="preserve">AGCO will host a conference call for this earnings announcement at 10 a.m. Eastern Time on Thursday, October 29. The Company will refer to slides on its conference call. Interested persons can access the conference call and slide presentation via AGCO’s website at </w:t>
      </w:r>
      <w:r>
        <w:rPr>
          <w:rFonts w:ascii="Times New Roman" w:cs="Times New Roman" w:eastAsia="Times New Roman" w:hAnsi="Times New Roman"/>
          <w:sz w:val="20"/>
          <w:szCs w:val="20"/>
          <w:u w:val="single" w:color="auto"/>
          <w:color w:val="auto"/>
        </w:rPr>
        <w:t>www.agcocorp.com</w:t>
      </w:r>
      <w:r>
        <w:rPr>
          <w:rFonts w:ascii="Times New Roman" w:cs="Times New Roman" w:eastAsia="Times New Roman" w:hAnsi="Times New Roman"/>
          <w:sz w:val="20"/>
          <w:szCs w:val="20"/>
          <w:color w:val="auto"/>
        </w:rPr>
        <w:t xml:space="preserve"> under the “Investors” section. The webcast will also be archived immediately afterward for 12 months. A copy of this press release will be available on AGCO’s website for at least 12 months following the call.</w:t>
      </w: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 * * *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Safe Harbor Statement</w:t>
      </w:r>
    </w:p>
    <w:p>
      <w:pPr>
        <w:spacing w:after="0" w:line="247" w:lineRule="exact"/>
        <w:rPr>
          <w:sz w:val="20"/>
          <w:szCs w:val="20"/>
          <w:color w:val="auto"/>
        </w:rPr>
      </w:pPr>
    </w:p>
    <w:p>
      <w:pPr>
        <w:ind w:firstLine="198"/>
        <w:spacing w:after="0" w:line="253" w:lineRule="auto"/>
        <w:rPr>
          <w:sz w:val="20"/>
          <w:szCs w:val="20"/>
          <w:color w:val="auto"/>
        </w:rPr>
      </w:pPr>
      <w:r>
        <w:rPr>
          <w:rFonts w:ascii="Times New Roman" w:cs="Times New Roman" w:eastAsia="Times New Roman" w:hAnsi="Times New Roman"/>
          <w:sz w:val="20"/>
          <w:szCs w:val="20"/>
          <w:color w:val="auto"/>
        </w:rPr>
        <w:t>Statements that are not historical facts, including the projections of earnings per share, production levels, sales, industry demand, market conditions, commodity prices, currency translation, farm income levels, margin levels, strategy, investments in product and technology development, new product introductions, restructuring and other cost reduction initiatives, production volumes, tax rates and general economic conditions, are forward-looking and subject to risks that could cause actual results to differ materially from those suggested by the statements. The following are among the factors that could cause actual results to differ materially from the results discussed in or implied by the forward-looking statements.</w:t>
      </w:r>
    </w:p>
    <w:p>
      <w:pPr>
        <w:spacing w:after="0" w:line="219" w:lineRule="exact"/>
        <w:rPr>
          <w:sz w:val="20"/>
          <w:szCs w:val="20"/>
          <w:color w:val="auto"/>
        </w:rPr>
      </w:pPr>
    </w:p>
    <w:p>
      <w:pPr>
        <w:ind w:left="820" w:right="440" w:hanging="326"/>
        <w:spacing w:after="0" w:line="281" w:lineRule="auto"/>
        <w:tabs>
          <w:tab w:leader="none" w:pos="808"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financial results depend entirely upon the agricultural industry, and factors that adversely affect the agricultural industry generally, including declines in the general economy, adverse weather, tariffs, increases in farm input costs, lower commodity prices, lower farm income and changes in the availability of credit for our retail customers, will adversely affect us.</w:t>
      </w:r>
    </w:p>
    <w:p>
      <w:pPr>
        <w:sectPr>
          <w:pgSz w:w="11900" w:h="16838" w:orient="portrait"/>
          <w:cols w:equalWidth="0" w:num="1">
            <w:col w:w="11200"/>
          </w:cols>
          <w:pgMar w:left="320" w:top="923" w:right="379" w:bottom="1440" w:gutter="0" w:footer="0" w:header="0"/>
        </w:sectPr>
      </w:pPr>
    </w:p>
    <w:bookmarkStart w:id="8" w:name="page9"/>
    <w:bookmarkEnd w:id="8"/>
    <w:p>
      <w:pPr>
        <w:ind w:left="326" w:right="80" w:hanging="326"/>
        <w:spacing w:after="0" w:line="258" w:lineRule="auto"/>
        <w:tabs>
          <w:tab w:leader="none" w:pos="32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We maintain an independent dealer and distribution network in the markets where we sell products. The financial and operational capabilities of our dealers and distributors are critical to our ability to compete in these markets. Higher inventory levels at our dealers and high utilization of dealer credit limits as well as the financial health of our dealers could negatively impact future sales and adversely impact our performance.</w:t>
      </w:r>
    </w:p>
    <w:p>
      <w:pPr>
        <w:spacing w:after="0" w:line="10" w:lineRule="exact"/>
        <w:rPr>
          <w:rFonts w:ascii="Times New Roman" w:cs="Times New Roman" w:eastAsia="Times New Roman" w:hAnsi="Times New Roman"/>
          <w:sz w:val="18"/>
          <w:szCs w:val="18"/>
          <w:color w:val="auto"/>
        </w:rPr>
      </w:pPr>
    </w:p>
    <w:p>
      <w:pPr>
        <w:ind w:left="326" w:right="100" w:hanging="326"/>
        <w:spacing w:after="0" w:line="253" w:lineRule="auto"/>
        <w:tabs>
          <w:tab w:leader="none" w:pos="314"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April 1, 2024, we completed the acquisition of the ag assets and technologies of Trimble through the formation of a joint venture, PTx Trimble, of which we own 85%. Financing the PTx Trimble transaction significantly increased our indebtedness and interest expense. We also have made various assumptions relating to the acquisition that may not prove to be correct, and we may fail to realize all of the anticipated benefits of the acquisition. All acquisitions involve risk, and there is no certainty that the acquired business will operate as expected. Each of these items, as well as similar acquisition-related items, would adversely impact our performance.</w:t>
      </w:r>
    </w:p>
    <w:p>
      <w:pPr>
        <w:spacing w:after="0" w:line="30" w:lineRule="exact"/>
        <w:rPr>
          <w:rFonts w:ascii="Times New Roman" w:cs="Times New Roman" w:eastAsia="Times New Roman" w:hAnsi="Times New Roman"/>
          <w:sz w:val="20"/>
          <w:szCs w:val="20"/>
          <w:color w:val="auto"/>
        </w:rPr>
      </w:pPr>
    </w:p>
    <w:p>
      <w:pPr>
        <w:ind w:left="326" w:hanging="326"/>
        <w:spacing w:after="0" w:line="238" w:lineRule="exact"/>
        <w:tabs>
          <w:tab w:leader="none" w:pos="32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majority of our sales and manufacturing takes place outside the United States, and many of our sales involve products that are manufactured in one country and sold in a different country. As a result, we are exposed to risks related to foreign laws, taxes and tariffs, trade restrictions, economic conditions, labor supply and relations, political conditions and governmental policies. In 2025, the U.S. government implemented a series of tariffs on goods imported into the United States from various countries, and in many cases these measures resulted in reciprocal tariffs and other actions on goods exported from the United States. These tariffs and related actions are complex, continuously evolving and remain highly volatile as trade negotiations and legal challenges proceed. In February 2026, the U.S. Supreme Court ruled that the International Emergency Economic Powers Act (“IEEPA”), which the U.S. government had relied on to impose certain tariffs, does not authorize the administration to impose such tariffs. Following that decision, on March 4, 2026, the U.S. Court of International Trade (“CIT”) ordered U.S. Customs and Border Protection (“CBP”) to process refunds of tariffs imposed under IEEPA, and on March 27, 2026, the CIT issued an amended order expanding the scope of entries subject to reliquidation. On April 20, 2026, the Consolidated Administration and Processing of Entries (“CAPE”) system opened for the first phase of refund filings, and on June 29, 2026, CBP expanded CAPE to accept additional categories of entries. We have submitted refund claims under both phases and, as of the date of this release, have received refunds with respect to a portion of those claims. Certain other entries remain subject to refund procedures that CBP has not yet defined. Refunds received remain subject to CBP review and to the outcome of the administration’s appeal described below, and we could be required to repay some or all of the amounts received. The administration has appealed the CIT's refund order to the U.S. Court of Appeals for the Federal Circuit, contesting both the scope of the refund obligation and the reliquidation of finally liquidated entries for importers who have not filed individual lawsuits. Accordingly, we cannot predict the timing or amount of any additional refunds, or whether refunds already received will ultimately be retained. Following the U.S. Supreme Court’s ruling, the administration has also imposed tariffs under alternative statutory authorities, the validity of which is also subject to legal challenge. As a result, the timing and extent of any refunds, the structure and scope of any new tariffs and the overall tariff framework remain uncertain and could create significant risks for our business. Depending on the countries affected, increases in tariffs have raised, and may continue to raise, the costs of inputs used in manufacturing our products, which in turn has impacted, and may further impact, our cost of goods sold. In addition, higher tariffs may lead to increased after</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tariff sales prices for the products we sell. Additionally, the economic uncertainty caused by the tariffs may result in customers delaying planned purchases of products and services. While impacts of the tariffs may be partially mitigated by the fact that a majority of our sales and manufacturing takes place outside the United States, there can be no guarantee that we will be able to fully offset the impact of existing or future tariffs through pricing, sourcing changes or other measures. Furthermore, retaliatory tariffs imposed by other countries on our exported products could negatively affect our sales and marketplace access in those countries. The economic uncertainty caused by these tariffs and related trade policy developments, together with uncertainty regarding their enforceability, continuation or modification, has adversely impacted, and is expected to continue to adversely impact, our sales.</w:t>
      </w:r>
    </w:p>
    <w:p>
      <w:pPr>
        <w:sectPr>
          <w:pgSz w:w="11900" w:h="16838" w:orient="portrait"/>
          <w:cols w:equalWidth="0" w:num="1">
            <w:col w:w="10726"/>
          </w:cols>
          <w:pgMar w:left="814" w:top="927" w:right="359" w:bottom="1440" w:gutter="0" w:footer="0" w:header="0"/>
        </w:sectPr>
      </w:pPr>
    </w:p>
    <w:bookmarkStart w:id="9" w:name="page10"/>
    <w:bookmarkEnd w:id="9"/>
    <w:p>
      <w:pPr>
        <w:ind w:left="326" w:hanging="326"/>
        <w:spacing w:after="0" w:line="251" w:lineRule="auto"/>
        <w:tabs>
          <w:tab w:leader="none" w:pos="32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We cannot predict or control the impact of the conflicts in Ukraine or the Middle East on our business. These conflicts have already driven increased volatility across global energy, logistics and input markets, leading to higher fuel, fertilizer, transportation and input costs, as well as general uncertainty for farmers. There is a potential for natural gas shortages, as well as shortages in other energy sources including diesel fuel, throughout Europe, which could negatively impact our production in Europe both directly and through interrupting the supply of parts and components that we use. It is unclear how long these conditions will continue, or whether they will worsen, and what the ultimate impact on our performance will be. In addition, AGCO sells products in, and purchases parts and components from, other regions where there could be hostilities. Any hostilities likely would adversely impact our performance.</w:t>
      </w:r>
    </w:p>
    <w:p>
      <w:pPr>
        <w:spacing w:after="0" w:line="33" w:lineRule="exact"/>
        <w:rPr>
          <w:rFonts w:ascii="Times New Roman" w:cs="Times New Roman" w:eastAsia="Times New Roman" w:hAnsi="Times New Roman"/>
          <w:sz w:val="18"/>
          <w:szCs w:val="18"/>
          <w:color w:val="auto"/>
        </w:rPr>
      </w:pPr>
    </w:p>
    <w:p>
      <w:pPr>
        <w:ind w:left="326" w:right="20" w:hanging="326"/>
        <w:spacing w:after="0" w:line="249" w:lineRule="auto"/>
        <w:tabs>
          <w:tab w:leader="none" w:pos="31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Most retail sales of the products that we manufacture are financed, either by our joint ventures with Rabobank or by a bank or other private lender. The AGCO Finance joint ventures with Rabobank, which are wholly owned or controlled by Rabobank and are dependent upon Rabobank for financing as well, finance approximately 50% of the retail sales of our tractors and combines in the markets where the joint ventures operate. Any difficulty by Rabobank to continue to provide that financing, or any business decision by Rabobank as the controlling member not to fund the business or particular aspects of it (for example, a particular country or region), would require the joint ventures to find other sources of financing (which may be difficult to obtain), or us to find another source of retail financing for our customers, or our customers would be required to utilize other retail financing providers. As a result of the recent economic downturn, financing for capital equipment purchases generally has become more difficult in certain regions and in some cases, can be expensive to obtain. To the extent that financing is not available or available only at unattractive prices, our sales would be negatively impacted. In addition, Rabobank also is the lead lender in our revolving credit facility and term loans and for many years has been an important financing partner for us. Any interruption or other challenges in that relationship would require us to obtain alternative financing, which could be difficult.</w:t>
      </w:r>
    </w:p>
    <w:p>
      <w:pPr>
        <w:spacing w:after="0" w:line="39" w:lineRule="exact"/>
        <w:rPr>
          <w:rFonts w:ascii="Times New Roman" w:cs="Times New Roman" w:eastAsia="Times New Roman" w:hAnsi="Times New Roman"/>
          <w:sz w:val="20"/>
          <w:szCs w:val="20"/>
          <w:color w:val="auto"/>
        </w:rPr>
      </w:pPr>
    </w:p>
    <w:p>
      <w:pPr>
        <w:ind w:left="326" w:right="100" w:hanging="326"/>
        <w:spacing w:after="0" w:line="258" w:lineRule="auto"/>
        <w:tabs>
          <w:tab w:leader="none" w:pos="31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Both AGCO and our finance joint ventures have substantial accounts receivable from dealers and end customers, and we would be adversely impacted if the collectability of these receivables was less than optimal; this collectability is dependent upon the financial strength of the farm industry, which in turn is dependent upon the general economy and commodity prices, as well as several of the other factors listed in this section.</w:t>
      </w:r>
    </w:p>
    <w:p>
      <w:pPr>
        <w:spacing w:after="0" w:line="10" w:lineRule="exact"/>
        <w:rPr>
          <w:rFonts w:ascii="Times New Roman" w:cs="Times New Roman" w:eastAsia="Times New Roman" w:hAnsi="Times New Roman"/>
          <w:sz w:val="20"/>
          <w:szCs w:val="20"/>
          <w:color w:val="auto"/>
        </w:rPr>
      </w:pPr>
    </w:p>
    <w:p>
      <w:pPr>
        <w:ind w:left="326" w:right="160" w:hanging="326"/>
        <w:spacing w:after="0" w:line="274" w:lineRule="auto"/>
        <w:tabs>
          <w:tab w:leader="none" w:pos="31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can experience substantial and sustained volatility with respect to currency exchange rate and interest rate changes, which can adversely affect our reported results of operations and the competitiveness of our products.</w:t>
      </w:r>
    </w:p>
    <w:p>
      <w:pPr>
        <w:spacing w:after="0" w:line="1" w:lineRule="exact"/>
        <w:rPr>
          <w:rFonts w:ascii="Times New Roman" w:cs="Times New Roman" w:eastAsia="Times New Roman" w:hAnsi="Times New Roman"/>
          <w:sz w:val="20"/>
          <w:szCs w:val="20"/>
          <w:color w:val="auto"/>
        </w:rPr>
      </w:pPr>
    </w:p>
    <w:p>
      <w:pPr>
        <w:jc w:val="both"/>
        <w:ind w:left="326" w:right="680" w:hanging="326"/>
        <w:spacing w:after="0" w:line="281" w:lineRule="auto"/>
        <w:tabs>
          <w:tab w:leader="none" w:pos="314"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success depends on the introduction of new products, particularly engines that comply with emission requirements and sustainable smart farming technology, which require substantial expenditures; there is no certainty that we can develop the necessary technology or that the technology that we develop will be attractive to farmers or available at competitive prices.</w:t>
      </w:r>
    </w:p>
    <w:p>
      <w:pPr>
        <w:spacing w:after="0" w:line="2" w:lineRule="exact"/>
        <w:rPr>
          <w:rFonts w:ascii="Times New Roman" w:cs="Times New Roman" w:eastAsia="Times New Roman" w:hAnsi="Times New Roman"/>
          <w:sz w:val="19"/>
          <w:szCs w:val="19"/>
          <w:color w:val="auto"/>
        </w:rPr>
      </w:pPr>
    </w:p>
    <w:p>
      <w:pPr>
        <w:ind w:left="326" w:right="60" w:hanging="326"/>
        <w:spacing w:after="0" w:line="274" w:lineRule="auto"/>
        <w:tabs>
          <w:tab w:leader="none" w:pos="31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expansion plans in emerging markets, including establishing a greater manufacturing and marketing presence and growing our use of component suppliers, could entail significant risks.</w:t>
      </w:r>
    </w:p>
    <w:p>
      <w:pPr>
        <w:spacing w:after="0" w:line="1" w:lineRule="exact"/>
        <w:rPr>
          <w:rFonts w:ascii="Times New Roman" w:cs="Times New Roman" w:eastAsia="Times New Roman" w:hAnsi="Times New Roman"/>
          <w:sz w:val="20"/>
          <w:szCs w:val="20"/>
          <w:color w:val="auto"/>
        </w:rPr>
      </w:pPr>
    </w:p>
    <w:p>
      <w:pPr>
        <w:ind w:left="326" w:right="760" w:hanging="326"/>
        <w:spacing w:after="0" w:line="296" w:lineRule="auto"/>
        <w:tabs>
          <w:tab w:leader="none" w:pos="314"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business is increasingly subject to regulations relating to privacy and data protection, and if we violate any of those regulations, or otherwise are the victim of a cyberattack, we could be subject to significant claims, penalties and damages.</w:t>
      </w:r>
    </w:p>
    <w:p>
      <w:pPr>
        <w:spacing w:after="0" w:line="1" w:lineRule="exact"/>
        <w:rPr>
          <w:rFonts w:ascii="Times New Roman" w:cs="Times New Roman" w:eastAsia="Times New Roman" w:hAnsi="Times New Roman"/>
          <w:sz w:val="19"/>
          <w:szCs w:val="19"/>
          <w:color w:val="auto"/>
        </w:rPr>
      </w:pPr>
    </w:p>
    <w:p>
      <w:pPr>
        <w:ind w:left="326" w:right="120" w:hanging="326"/>
        <w:spacing w:after="0" w:line="276" w:lineRule="auto"/>
        <w:tabs>
          <w:tab w:leader="none" w:pos="314"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Cybersecurity breaches including ransomware attacks and other means are rapidly increasing. We continue to review and improve our safeguards to minimize our exposure to future attacks. However, there remains a risk that a successful cyberattack could disrupt our business, including by interrupting operations, destroying or exfiltrating data, or otherwise compromising our systems.</w:t>
      </w:r>
    </w:p>
    <w:p>
      <w:pPr>
        <w:spacing w:after="0" w:line="2" w:lineRule="exact"/>
        <w:rPr>
          <w:rFonts w:ascii="Times New Roman" w:cs="Times New Roman" w:eastAsia="Times New Roman" w:hAnsi="Times New Roman"/>
          <w:sz w:val="19"/>
          <w:szCs w:val="19"/>
          <w:color w:val="auto"/>
        </w:rPr>
      </w:pPr>
    </w:p>
    <w:p>
      <w:pPr>
        <w:ind w:left="326" w:right="40" w:hanging="326"/>
        <w:spacing w:after="0" w:line="257" w:lineRule="auto"/>
        <w:tabs>
          <w:tab w:leader="none" w:pos="314"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depend on suppliers for components, parts and raw materials for our products, and any failure by our suppliers to provide products as needed, or by us to promptly address supplier issues, will adversely impact our ability to timely and efficiently manufacture and sell products. In addition, the potential of future natural gas shortages in Europe, as well as predicted overall shortages in other energy sources, could also negatively impact our production and that of our supply chain in the future. There can be no assurance that there will not be future disruptions.</w:t>
      </w:r>
    </w:p>
    <w:p>
      <w:pPr>
        <w:sectPr>
          <w:pgSz w:w="11900" w:h="16838" w:orient="portrait"/>
          <w:cols w:equalWidth="0" w:num="1">
            <w:col w:w="10746"/>
          </w:cols>
          <w:pgMar w:left="814" w:top="927" w:right="339" w:bottom="1440" w:gutter="0" w:footer="0" w:header="0"/>
        </w:sectPr>
      </w:pPr>
    </w:p>
    <w:bookmarkStart w:id="10" w:name="page11"/>
    <w:bookmarkEnd w:id="10"/>
    <w:p>
      <w:pPr>
        <w:ind w:left="820" w:right="380" w:hanging="326"/>
        <w:spacing w:after="0" w:line="261" w:lineRule="auto"/>
        <w:tabs>
          <w:tab w:leader="none" w:pos="80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future pandemics could negatively impact our business through reduced sales, facility closures, higher absentee rates and reduced production at both our plants and the plants that supply us with parts and components. In addition, logistical and transportation-related issues and similar problems may also arise.</w:t>
      </w:r>
    </w:p>
    <w:p>
      <w:pPr>
        <w:spacing w:after="0" w:line="19" w:lineRule="exact"/>
        <w:rPr>
          <w:rFonts w:ascii="Times New Roman" w:cs="Times New Roman" w:eastAsia="Times New Roman" w:hAnsi="Times New Roman"/>
          <w:sz w:val="20"/>
          <w:szCs w:val="20"/>
          <w:color w:val="auto"/>
        </w:rPr>
      </w:pPr>
    </w:p>
    <w:p>
      <w:pPr>
        <w:jc w:val="both"/>
        <w:ind w:left="820" w:hanging="326"/>
        <w:spacing w:after="0" w:line="261" w:lineRule="auto"/>
        <w:tabs>
          <w:tab w:leader="none" w:pos="80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previously experienced significant inflation in a range of costs, including for parts and components, shipping and energy. While we have been able to pass along most of those costs through increased prices, there can be no assurance that we will be able to continue to do so. If we are not, it will adversely impact our performance.</w:t>
      </w:r>
    </w:p>
    <w:p>
      <w:pPr>
        <w:spacing w:after="0" w:line="19" w:lineRule="exact"/>
        <w:rPr>
          <w:rFonts w:ascii="Times New Roman" w:cs="Times New Roman" w:eastAsia="Times New Roman" w:hAnsi="Times New Roman"/>
          <w:sz w:val="20"/>
          <w:szCs w:val="20"/>
          <w:color w:val="auto"/>
        </w:rPr>
      </w:pPr>
    </w:p>
    <w:p>
      <w:pPr>
        <w:ind w:left="820" w:right="60" w:hanging="326"/>
        <w:spacing w:after="0" w:line="269" w:lineRule="auto"/>
        <w:tabs>
          <w:tab w:leader="none" w:pos="80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face significant competition, and if we are unable to compete successfully against other agricultural equipment manufacturers, we would lose customers and our net sales and performance would decline.</w:t>
      </w:r>
    </w:p>
    <w:p>
      <w:pPr>
        <w:spacing w:after="0" w:line="10" w:lineRule="exact"/>
        <w:rPr>
          <w:rFonts w:ascii="Times New Roman" w:cs="Times New Roman" w:eastAsia="Times New Roman" w:hAnsi="Times New Roman"/>
          <w:sz w:val="20"/>
          <w:szCs w:val="20"/>
          <w:color w:val="auto"/>
        </w:rPr>
      </w:pPr>
    </w:p>
    <w:p>
      <w:pPr>
        <w:jc w:val="both"/>
        <w:ind w:left="820" w:right="60" w:hanging="326"/>
        <w:spacing w:after="0" w:line="261" w:lineRule="auto"/>
        <w:tabs>
          <w:tab w:leader="none" w:pos="80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a substantial amount of indebtedness (and have incurred additional indebtedness as part of the PTx Trimble joint venture transaction), and, as a result, we are subject to certain restrictive covenants and payment obligations, as well as increased leverage generally, that may adversely affect our ability to operate and expand our business.</w:t>
      </w:r>
    </w:p>
    <w:p>
      <w:pPr>
        <w:spacing w:after="0" w:line="262" w:lineRule="exact"/>
        <w:rPr>
          <w:sz w:val="20"/>
          <w:szCs w:val="20"/>
          <w:color w:val="auto"/>
        </w:rPr>
      </w:pPr>
    </w:p>
    <w:p>
      <w:pPr>
        <w:ind w:right="60" w:firstLine="198"/>
        <w:spacing w:after="0" w:line="261" w:lineRule="auto"/>
        <w:rPr>
          <w:sz w:val="20"/>
          <w:szCs w:val="20"/>
          <w:color w:val="auto"/>
        </w:rPr>
      </w:pPr>
      <w:r>
        <w:rPr>
          <w:rFonts w:ascii="Times New Roman" w:cs="Times New Roman" w:eastAsia="Times New Roman" w:hAnsi="Times New Roman"/>
          <w:sz w:val="20"/>
          <w:szCs w:val="20"/>
          <w:color w:val="auto"/>
        </w:rPr>
        <w:t>Further information concerning these and other factors is included in AGCO’s filings with the Securities and Exchange Commission, including its Form 10-K for the year ended December 31, 2025, and subsequent Form 10-Qs. AGCO disclaims any obligation to update any forward-looking statements except as required by law.</w:t>
      </w:r>
    </w:p>
    <w:p>
      <w:pPr>
        <w:spacing w:after="0" w:line="19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 * * * *</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AGCO</w:t>
      </w:r>
    </w:p>
    <w:p>
      <w:pPr>
        <w:spacing w:after="0" w:line="260" w:lineRule="exact"/>
        <w:rPr>
          <w:sz w:val="20"/>
          <w:szCs w:val="20"/>
          <w:color w:val="auto"/>
        </w:rPr>
      </w:pPr>
    </w:p>
    <w:p>
      <w:pPr>
        <w:ind w:right="160" w:firstLine="198"/>
        <w:spacing w:after="0" w:line="254" w:lineRule="auto"/>
        <w:rPr>
          <w:sz w:val="20"/>
          <w:szCs w:val="20"/>
          <w:color w:val="auto"/>
        </w:rPr>
      </w:pPr>
      <w:r>
        <w:rPr>
          <w:rFonts w:ascii="Times New Roman" w:cs="Times New Roman" w:eastAsia="Times New Roman" w:hAnsi="Times New Roman"/>
          <w:sz w:val="20"/>
          <w:szCs w:val="20"/>
          <w:color w:val="auto"/>
        </w:rPr>
        <w:t xml:space="preserve">AGCO (NYSE: AGCO) is a global leader in agricultural machinery and precision agriculture technologies. Driven by a Farmer-First strategy, AGCO delivers value through its differentiated leading brands, Fendt™, Massey Ferguson™, PTx™ and Valtra™. AGCO's high-performance equipment and smart farming solutions, including brand-agnostic retrofit technologies and autonomous offerings, empower farmers to drive productivity while sustainably feeding the world. For more information, visit </w:t>
      </w:r>
      <w:r>
        <w:rPr>
          <w:rFonts w:ascii="Times New Roman" w:cs="Times New Roman" w:eastAsia="Times New Roman" w:hAnsi="Times New Roman"/>
          <w:sz w:val="20"/>
          <w:szCs w:val="20"/>
          <w:u w:val="single" w:color="auto"/>
          <w:color w:val="auto"/>
        </w:rPr>
        <w:t>www.agcocorp.com</w:t>
      </w:r>
      <w:r>
        <w:rPr>
          <w:rFonts w:ascii="Times New Roman" w:cs="Times New Roman" w:eastAsia="Times New Roman" w:hAnsi="Times New Roman"/>
          <w:sz w:val="20"/>
          <w:szCs w:val="20"/>
          <w:color w:val="auto"/>
          <w:highlight w:val="white"/>
        </w:rPr>
        <w:t>.</w:t>
      </w:r>
    </w:p>
    <w:p>
      <w:pPr>
        <w:spacing w:after="0" w:line="2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 # # # #</w:t>
      </w:r>
    </w:p>
    <w:p>
      <w:pPr>
        <w:sectPr>
          <w:pgSz w:w="11900" w:h="16838" w:orient="portrait"/>
          <w:cols w:equalWidth="0" w:num="1">
            <w:col w:w="11160"/>
          </w:cols>
          <w:pgMar w:left="320" w:top="927" w:right="419" w:bottom="1440" w:gutter="0" w:footer="0" w:header="0"/>
        </w:sectPr>
      </w:pPr>
    </w:p>
    <w:bookmarkStart w:id="11" w:name="page12"/>
    <w:bookmarkEnd w:id="11"/>
    <w:p>
      <w:pPr>
        <w:ind w:left="4620"/>
        <w:spacing w:after="0"/>
        <w:rPr>
          <w:sz w:val="20"/>
          <w:szCs w:val="20"/>
          <w:color w:val="auto"/>
        </w:rPr>
      </w:pPr>
      <w:r>
        <w:rPr>
          <w:rFonts w:ascii="Times New Roman" w:cs="Times New Roman" w:eastAsia="Times New Roman" w:hAnsi="Times New Roman"/>
          <w:sz w:val="20"/>
          <w:szCs w:val="20"/>
          <w:color w:val="auto"/>
        </w:rPr>
        <w:t>AGCO CORPORATION</w:t>
      </w:r>
    </w:p>
    <w:p>
      <w:pPr>
        <w:spacing w:after="0" w:line="28"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color w:val="auto"/>
        </w:rPr>
        <w:t>CONDENSED 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and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September 30, 2026</w:t>
            </w:r>
          </w:p>
        </w:tc>
        <w:tc>
          <w:tcPr>
            <w:tcW w:w="160" w:type="dxa"/>
            <w:vAlign w:val="bottom"/>
          </w:tcPr>
          <w:p>
            <w:pPr>
              <w:spacing w:after="0"/>
              <w:rPr>
                <w:sz w:val="20"/>
                <w:szCs w:val="20"/>
                <w:color w:val="auto"/>
              </w:rPr>
            </w:pPr>
          </w:p>
        </w:tc>
        <w:tc>
          <w:tcPr>
            <w:tcW w:w="1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December 31, 2025</w:t>
            </w:r>
          </w:p>
        </w:tc>
      </w:tr>
      <w:tr>
        <w:trPr>
          <w:trHeight w:val="223"/>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43"/>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861.8</w:t>
            </w:r>
          </w:p>
        </w:tc>
      </w:tr>
      <w:tr>
        <w:trPr>
          <w:trHeight w:val="243"/>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1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1,079.4</w:t>
            </w:r>
          </w:p>
        </w:tc>
      </w:tr>
      <w:tr>
        <w:trPr>
          <w:trHeight w:val="243"/>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16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2,709.3</w:t>
            </w:r>
          </w:p>
        </w:tc>
      </w:tr>
      <w:tr>
        <w:trPr>
          <w:trHeight w:val="243"/>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545.6</w:t>
            </w:r>
          </w:p>
        </w:tc>
      </w:tr>
      <w:tr>
        <w:trPr>
          <w:trHeight w:val="237"/>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5,196.1</w:t>
            </w: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1,996.2</w:t>
            </w:r>
          </w:p>
        </w:tc>
      </w:tr>
      <w:tr>
        <w:trPr>
          <w:trHeight w:val="24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lease assets</w:t>
            </w:r>
          </w:p>
        </w:tc>
        <w:tc>
          <w:tcPr>
            <w:tcW w:w="16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w:t>
            </w: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 in affiliates</w:t>
            </w:r>
          </w:p>
        </w:tc>
        <w:tc>
          <w:tcPr>
            <w:tcW w:w="1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609.9</w:t>
            </w:r>
          </w:p>
        </w:tc>
      </w:tr>
      <w:tr>
        <w:trPr>
          <w:trHeight w:val="24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905.5</w:t>
            </w: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w:t>
            </w:r>
          </w:p>
        </w:tc>
      </w:tr>
      <w:tr>
        <w:trPr>
          <w:trHeight w:val="24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673.0</w:t>
            </w:r>
          </w:p>
        </w:tc>
      </w:tr>
      <w:tr>
        <w:trPr>
          <w:trHeight w:val="243"/>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1,881.1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1,898.8</w:t>
            </w:r>
          </w:p>
        </w:tc>
      </w:tr>
      <w:tr>
        <w:trPr>
          <w:trHeight w:val="262"/>
        </w:trPr>
        <w:tc>
          <w:tcPr>
            <w:tcW w:w="7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11,927.8</w:t>
            </w:r>
          </w:p>
        </w:tc>
      </w:tr>
      <w:tr>
        <w:trPr>
          <w:trHeight w:val="20"/>
        </w:trPr>
        <w:tc>
          <w:tcPr>
            <w:tcW w:w="928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r>
      <w:tr>
        <w:trPr>
          <w:trHeight w:val="203"/>
        </w:trPr>
        <w:tc>
          <w:tcPr>
            <w:tcW w:w="74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r>
      <w:tr>
        <w:trPr>
          <w:trHeight w:val="243"/>
        </w:trPr>
        <w:tc>
          <w:tcPr>
            <w:tcW w:w="93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INTERESTS AND STOCKHOLDERS’ EQUITY</w:t>
            </w:r>
          </w:p>
        </w:tc>
        <w:tc>
          <w:tcPr>
            <w:tcW w:w="16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43"/>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Borrowings due within one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r>
      <w:tr>
        <w:trPr>
          <w:trHeight w:val="243"/>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951.0</w:t>
            </w:r>
          </w:p>
        </w:tc>
      </w:tr>
      <w:tr>
        <w:trPr>
          <w:trHeight w:val="243"/>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2,266.4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2,538.7</w:t>
            </w:r>
          </w:p>
        </w:tc>
      </w:tr>
      <w:tr>
        <w:trPr>
          <w:trHeight w:val="243"/>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w:t>
            </w:r>
          </w:p>
        </w:tc>
      </w:tr>
      <w:tr>
        <w:trPr>
          <w:trHeight w:val="237"/>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3,729.1</w:t>
            </w: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 and debt issuance costs</w:t>
            </w:r>
          </w:p>
        </w:tc>
        <w:tc>
          <w:tcPr>
            <w:tcW w:w="1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2,323.1</w:t>
            </w:r>
          </w:p>
        </w:tc>
      </w:tr>
      <w:tr>
        <w:trPr>
          <w:trHeight w:val="24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Pension and postretirement health care benefits</w:t>
            </w:r>
          </w:p>
        </w:tc>
        <w:tc>
          <w:tcPr>
            <w:tcW w:w="1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169.2</w:t>
            </w:r>
          </w:p>
        </w:tc>
      </w:tr>
      <w:tr>
        <w:trPr>
          <w:trHeight w:val="24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w:t>
            </w:r>
          </w:p>
        </w:tc>
      </w:tr>
      <w:tr>
        <w:trPr>
          <w:trHeight w:val="243"/>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885.1</w:t>
            </w:r>
          </w:p>
        </w:tc>
      </w:tr>
      <w:tr>
        <w:trPr>
          <w:trHeight w:val="236"/>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7,355.1</w:t>
            </w: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w:t>
            </w:r>
          </w:p>
        </w:tc>
      </w:tr>
      <w:tr>
        <w:trPr>
          <w:trHeight w:val="24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r>
        <w:trPr>
          <w:trHeight w:val="243"/>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w:t>
            </w:r>
          </w:p>
        </w:tc>
        <w:tc>
          <w:tcPr>
            <w:tcW w:w="160" w:type="dxa"/>
            <w:vAlign w:val="bottom"/>
          </w:tcPr>
          <w:p>
            <w:pPr>
              <w:spacing w:after="0"/>
              <w:rPr>
                <w:sz w:val="21"/>
                <w:szCs w:val="21"/>
                <w:color w:val="auto"/>
              </w:rPr>
            </w:pP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16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43"/>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21"/>
                <w:szCs w:val="21"/>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5,790.3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6,047.2</w:t>
            </w:r>
          </w:p>
        </w:tc>
      </w:tr>
      <w:tr>
        <w:trPr>
          <w:trHeight w:val="243"/>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(1,774.9)</w:t>
            </w:r>
          </w:p>
        </w:tc>
      </w:tr>
      <w:tr>
        <w:trPr>
          <w:trHeight w:val="237"/>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bottom w:val="single" w:sz="8" w:color="auto"/>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4,065.2</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4,273.5</w:t>
            </w:r>
          </w:p>
        </w:tc>
      </w:tr>
      <w:tr>
        <w:trPr>
          <w:trHeight w:val="23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redeemable noncontrolling interests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11,746.4</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11,927.8</w:t>
            </w:r>
          </w:p>
        </w:tc>
      </w:tr>
      <w:tr>
        <w:trPr>
          <w:trHeight w:val="21"/>
        </w:trPr>
        <w:tc>
          <w:tcPr>
            <w:tcW w:w="7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ectPr>
          <w:pgSz w:w="11900" w:h="16838" w:orient="portrait"/>
          <w:cols w:equalWidth="0" w:num="1">
            <w:col w:w="11240"/>
          </w:cols>
          <w:pgMar w:left="320" w:top="1170" w:right="339" w:bottom="1440" w:gutter="0" w:footer="0" w:header="0"/>
        </w:sectPr>
      </w:pPr>
    </w:p>
    <w:bookmarkStart w:id="12" w:name="page13"/>
    <w:bookmarkEnd w:id="12"/>
    <w:p>
      <w:pPr>
        <w:ind w:left="4620"/>
        <w:spacing w:after="0"/>
        <w:rPr>
          <w:sz w:val="20"/>
          <w:szCs w:val="20"/>
          <w:color w:val="auto"/>
        </w:rPr>
      </w:pPr>
      <w:r>
        <w:rPr>
          <w:rFonts w:ascii="Times New Roman" w:cs="Times New Roman" w:eastAsia="Times New Roman" w:hAnsi="Times New Roman"/>
          <w:sz w:val="20"/>
          <w:szCs w:val="20"/>
          <w:color w:val="auto"/>
        </w:rPr>
        <w:t>AGCO CORPORATION</w:t>
      </w:r>
    </w:p>
    <w:p>
      <w:pPr>
        <w:spacing w:after="0" w:line="28"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0"/>
          <w:szCs w:val="20"/>
          <w:color w:val="auto"/>
        </w:rPr>
        <w:t>CONDENSED CONSOLIDATED STATEMENTS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and in millions, except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3620" w:type="dxa"/>
            <w:vAlign w:val="bottom"/>
            <w:tcBorders>
              <w:bottom w:val="single" w:sz="8" w:color="auto"/>
            </w:tcBorders>
            <w:gridSpan w:val="5"/>
          </w:tcPr>
          <w:p>
            <w:pPr>
              <w:jc w:val="right"/>
              <w:ind w:right="41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0" w:type="dxa"/>
            <w:vAlign w:val="bottom"/>
          </w:tcPr>
          <w:p>
            <w:pPr>
              <w:spacing w:after="0"/>
              <w:rPr>
                <w:sz w:val="1"/>
                <w:szCs w:val="1"/>
                <w:color w:val="auto"/>
              </w:rPr>
            </w:pPr>
          </w:p>
        </w:tc>
      </w:tr>
      <w:tr>
        <w:trPr>
          <w:trHeight w:val="237"/>
        </w:trPr>
        <w:tc>
          <w:tcPr>
            <w:tcW w:w="76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3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2,476.3</w:t>
            </w:r>
          </w:p>
        </w:tc>
        <w:tc>
          <w:tcPr>
            <w:tcW w:w="0" w:type="dxa"/>
            <w:vAlign w:val="bottom"/>
          </w:tcPr>
          <w:p>
            <w:pPr>
              <w:spacing w:after="0"/>
              <w:rPr>
                <w:sz w:val="1"/>
                <w:szCs w:val="1"/>
                <w:color w:val="auto"/>
              </w:rPr>
            </w:pPr>
          </w:p>
        </w:tc>
      </w:tr>
      <w:tr>
        <w:trPr>
          <w:trHeight w:val="243"/>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1,697.1</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1,829.8</w:t>
            </w:r>
          </w:p>
        </w:tc>
        <w:tc>
          <w:tcPr>
            <w:tcW w:w="0" w:type="dxa"/>
            <w:vAlign w:val="bottom"/>
          </w:tcPr>
          <w:p>
            <w:pPr>
              <w:spacing w:after="0"/>
              <w:rPr>
                <w:sz w:val="1"/>
                <w:szCs w:val="1"/>
                <w:color w:val="auto"/>
              </w:rPr>
            </w:pPr>
          </w:p>
        </w:tc>
      </w:tr>
      <w:tr>
        <w:trPr>
          <w:trHeight w:val="23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646.5</w:t>
            </w:r>
          </w:p>
        </w:tc>
        <w:tc>
          <w:tcPr>
            <w:tcW w:w="0" w:type="dxa"/>
            <w:vAlign w:val="bottom"/>
          </w:tcPr>
          <w:p>
            <w:pPr>
              <w:spacing w:after="0"/>
              <w:rPr>
                <w:sz w:val="1"/>
                <w:szCs w:val="1"/>
                <w:color w:val="auto"/>
              </w:rPr>
            </w:pPr>
          </w:p>
        </w:tc>
      </w:tr>
      <w:tr>
        <w:trPr>
          <w:trHeight w:val="24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0" w:type="dxa"/>
            <w:vAlign w:val="bottom"/>
          </w:tcPr>
          <w:p>
            <w:pPr>
              <w:spacing w:after="0"/>
              <w:rPr>
                <w:sz w:val="1"/>
                <w:szCs w:val="1"/>
                <w:color w:val="auto"/>
              </w:rPr>
            </w:pPr>
          </w:p>
        </w:tc>
      </w:tr>
      <w:tr>
        <w:trPr>
          <w:trHeight w:val="243"/>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Engineering expenses</w:t>
            </w:r>
          </w:p>
        </w:tc>
        <w:tc>
          <w:tcPr>
            <w:tcW w:w="1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43"/>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43"/>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charges</w:t>
            </w:r>
          </w:p>
        </w:tc>
        <w:tc>
          <w:tcPr>
            <w:tcW w:w="110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43"/>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and business optimization expenses</w:t>
            </w:r>
          </w:p>
        </w:tc>
        <w:tc>
          <w:tcPr>
            <w:tcW w:w="1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7"/>
        </w:trPr>
        <w:tc>
          <w:tcPr>
            <w:tcW w:w="7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1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0" w:type="dxa"/>
            <w:vAlign w:val="bottom"/>
          </w:tcPr>
          <w:p>
            <w:pPr>
              <w:spacing w:after="0"/>
              <w:rPr>
                <w:sz w:val="1"/>
                <w:szCs w:val="1"/>
                <w:color w:val="auto"/>
              </w:rPr>
            </w:pPr>
          </w:p>
        </w:tc>
      </w:tr>
      <w:tr>
        <w:trPr>
          <w:trHeight w:val="243"/>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1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43"/>
        </w:trPr>
        <w:tc>
          <w:tcPr>
            <w:tcW w:w="7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0" w:type="dxa"/>
            <w:vAlign w:val="bottom"/>
          </w:tcPr>
          <w:p>
            <w:pPr>
              <w:spacing w:after="0"/>
              <w:rPr>
                <w:sz w:val="1"/>
                <w:szCs w:val="1"/>
                <w:color w:val="auto"/>
              </w:rPr>
            </w:pPr>
          </w:p>
        </w:tc>
      </w:tr>
      <w:tr>
        <w:trPr>
          <w:trHeight w:val="23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 and equity in net earnings of affiliates</w:t>
            </w:r>
          </w:p>
        </w:tc>
        <w:tc>
          <w:tcPr>
            <w:tcW w:w="1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0" w:type="dxa"/>
            <w:vAlign w:val="bottom"/>
          </w:tcPr>
          <w:p>
            <w:pPr>
              <w:spacing w:after="0"/>
              <w:rPr>
                <w:sz w:val="1"/>
                <w:szCs w:val="1"/>
                <w:color w:val="auto"/>
              </w:rPr>
            </w:pPr>
          </w:p>
        </w:tc>
      </w:tr>
      <w:tr>
        <w:trPr>
          <w:trHeight w:val="243"/>
        </w:trPr>
        <w:tc>
          <w:tcPr>
            <w:tcW w:w="7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 provision</w:t>
            </w:r>
          </w:p>
        </w:tc>
        <w:tc>
          <w:tcPr>
            <w:tcW w:w="1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3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equity in net earnings of affiliates</w:t>
            </w:r>
          </w:p>
        </w:tc>
        <w:tc>
          <w:tcPr>
            <w:tcW w:w="1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w:t>
            </w:r>
          </w:p>
        </w:tc>
        <w:tc>
          <w:tcPr>
            <w:tcW w:w="0" w:type="dxa"/>
            <w:vAlign w:val="bottom"/>
          </w:tcPr>
          <w:p>
            <w:pPr>
              <w:spacing w:after="0"/>
              <w:rPr>
                <w:sz w:val="1"/>
                <w:szCs w:val="1"/>
                <w:color w:val="auto"/>
              </w:rPr>
            </w:pPr>
          </w:p>
        </w:tc>
      </w:tr>
      <w:tr>
        <w:trPr>
          <w:trHeight w:val="243"/>
        </w:trPr>
        <w:tc>
          <w:tcPr>
            <w:tcW w:w="7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Equity in net earnings of affiliates</w:t>
            </w:r>
          </w:p>
        </w:tc>
        <w:tc>
          <w:tcPr>
            <w:tcW w:w="1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0" w:type="dxa"/>
            <w:vAlign w:val="bottom"/>
          </w:tcPr>
          <w:p>
            <w:pPr>
              <w:spacing w:after="0"/>
              <w:rPr>
                <w:sz w:val="1"/>
                <w:szCs w:val="1"/>
                <w:color w:val="auto"/>
              </w:rPr>
            </w:pPr>
          </w:p>
        </w:tc>
      </w:tr>
      <w:tr>
        <w:trPr>
          <w:trHeight w:val="243"/>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61"/>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AGCO Corporation</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common share attributable to AGCO Corporation:</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2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7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1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declared and paid per common share</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and common equivalent shares outstanding:</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62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7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10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ectPr>
          <w:pgSz w:w="11900" w:h="16838" w:orient="portrait"/>
          <w:cols w:equalWidth="0" w:num="1">
            <w:col w:w="11240"/>
          </w:cols>
          <w:pgMar w:left="320" w:top="927" w:right="339" w:bottom="1440" w:gutter="0" w:footer="0" w:header="0"/>
        </w:sectPr>
      </w:pPr>
    </w:p>
    <w:bookmarkStart w:id="13" w:name="page14"/>
    <w:bookmarkEnd w:id="13"/>
    <w:p>
      <w:pPr>
        <w:ind w:left="4620"/>
        <w:spacing w:after="0"/>
        <w:rPr>
          <w:sz w:val="20"/>
          <w:szCs w:val="20"/>
          <w:color w:val="auto"/>
        </w:rPr>
      </w:pPr>
      <w:r>
        <w:rPr>
          <w:rFonts w:ascii="Times New Roman" w:cs="Times New Roman" w:eastAsia="Times New Roman" w:hAnsi="Times New Roman"/>
          <w:sz w:val="20"/>
          <w:szCs w:val="20"/>
          <w:color w:val="auto"/>
        </w:rPr>
        <w:t>AGCO CORPORATION</w:t>
      </w:r>
    </w:p>
    <w:p>
      <w:pPr>
        <w:spacing w:after="0" w:line="28"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0"/>
          <w:szCs w:val="20"/>
          <w:color w:val="auto"/>
        </w:rPr>
        <w:t>CONDENSED CONSOLIDATED STATEMENTS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and in millions, except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3620" w:type="dxa"/>
            <w:vAlign w:val="bottom"/>
            <w:tcBorders>
              <w:bottom w:val="single" w:sz="8" w:color="auto"/>
            </w:tcBorders>
            <w:gridSpan w:val="5"/>
          </w:tcPr>
          <w:p>
            <w:pPr>
              <w:jc w:val="right"/>
              <w:ind w:right="45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37"/>
        </w:trPr>
        <w:tc>
          <w:tcPr>
            <w:tcW w:w="76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7,215.1</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7,161.8</w:t>
            </w:r>
          </w:p>
        </w:tc>
      </w:tr>
      <w:tr>
        <w:trPr>
          <w:trHeight w:val="243"/>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5,422.4</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5,336.1</w:t>
            </w:r>
          </w:p>
        </w:tc>
      </w:tr>
      <w:tr>
        <w:trPr>
          <w:trHeight w:val="23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1,825.7</w:t>
            </w:r>
          </w:p>
        </w:tc>
      </w:tr>
      <w:tr>
        <w:trPr>
          <w:trHeight w:val="24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43"/>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993.0</w:t>
            </w:r>
          </w:p>
        </w:tc>
      </w:tr>
      <w:tr>
        <w:trPr>
          <w:trHeight w:val="243"/>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Engineering expenses</w:t>
            </w:r>
          </w:p>
        </w:tc>
        <w:tc>
          <w:tcPr>
            <w:tcW w:w="1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356.8</w:t>
            </w:r>
          </w:p>
        </w:tc>
      </w:tr>
      <w:tr>
        <w:trPr>
          <w:trHeight w:val="243"/>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43"/>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charges</w:t>
            </w:r>
          </w:p>
        </w:tc>
        <w:tc>
          <w:tcPr>
            <w:tcW w:w="1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43"/>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and business optimization expenses</w:t>
            </w:r>
          </w:p>
        </w:tc>
        <w:tc>
          <w:tcPr>
            <w:tcW w:w="1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43"/>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sale of business</w:t>
            </w:r>
          </w:p>
        </w:tc>
        <w:tc>
          <w:tcPr>
            <w:tcW w:w="110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7"/>
        </w:trPr>
        <w:tc>
          <w:tcPr>
            <w:tcW w:w="76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1100" w:type="dxa"/>
            <w:vAlign w:val="bottom"/>
            <w:tcBorders>
              <w:top w:val="single" w:sz="8" w:color="auto"/>
            </w:tcBorders>
            <w:shd w:val="clear" w:color="auto" w:fill="CCEEFF"/>
          </w:tcPr>
          <w:p>
            <w:pPr>
              <w:spacing w:after="0"/>
              <w:rPr>
                <w:sz w:val="20"/>
                <w:szCs w:val="20"/>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10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r>
      <w:tr>
        <w:trPr>
          <w:trHeight w:val="243"/>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1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43"/>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r>
      <w:tr>
        <w:trPr>
          <w:trHeight w:val="237"/>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 and equity in net earnings of affiliates</w:t>
            </w:r>
          </w:p>
        </w:tc>
        <w:tc>
          <w:tcPr>
            <w:tcW w:w="1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w:t>
            </w:r>
          </w:p>
        </w:tc>
      </w:tr>
      <w:tr>
        <w:trPr>
          <w:trHeight w:val="243"/>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r>
      <w:tr>
        <w:trPr>
          <w:trHeight w:val="23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equity in net earnings of affiliates</w:t>
            </w:r>
          </w:p>
        </w:tc>
        <w:tc>
          <w:tcPr>
            <w:tcW w:w="1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w:t>
            </w:r>
          </w:p>
        </w:tc>
      </w:tr>
      <w:tr>
        <w:trPr>
          <w:trHeight w:val="243"/>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in net earnings of affiliates</w:t>
            </w:r>
          </w:p>
        </w:tc>
        <w:tc>
          <w:tcPr>
            <w:tcW w:w="1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r>
      <w:tr>
        <w:trPr>
          <w:trHeight w:val="237"/>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625.8</w:t>
            </w:r>
          </w:p>
        </w:tc>
      </w:tr>
      <w:tr>
        <w:trPr>
          <w:trHeight w:val="24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AGCO Corporation</w:t>
            </w:r>
          </w:p>
        </w:tc>
        <w:tc>
          <w:tcPr>
            <w:tcW w:w="11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631.0</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common share attributable to AGCO Corporation</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43"/>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1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21"/>
                <w:szCs w:val="21"/>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62"/>
        </w:trPr>
        <w:tc>
          <w:tcPr>
            <w:tcW w:w="7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declared and paid per common share</w:t>
            </w:r>
          </w:p>
        </w:tc>
        <w:tc>
          <w:tcPr>
            <w:tcW w:w="110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0.87</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10"/>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and common equivalent shares outstanding:</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43"/>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62"/>
        </w:trPr>
        <w:tc>
          <w:tcPr>
            <w:tcW w:w="76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10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ectPr>
          <w:pgSz w:w="11900" w:h="16838" w:orient="portrait"/>
          <w:cols w:equalWidth="0" w:num="1">
            <w:col w:w="11240"/>
          </w:cols>
          <w:pgMar w:left="320" w:top="927" w:right="339" w:bottom="1440" w:gutter="0" w:footer="0" w:header="0"/>
        </w:sectPr>
      </w:pPr>
    </w:p>
    <w:bookmarkStart w:id="14" w:name="page15"/>
    <w:bookmarkEnd w:id="14"/>
    <w:p>
      <w:pPr>
        <w:ind w:left="4620"/>
        <w:spacing w:after="0"/>
        <w:rPr>
          <w:sz w:val="20"/>
          <w:szCs w:val="20"/>
          <w:color w:val="auto"/>
        </w:rPr>
      </w:pPr>
      <w:r>
        <w:rPr>
          <w:rFonts w:ascii="Times New Roman" w:cs="Times New Roman" w:eastAsia="Times New Roman" w:hAnsi="Times New Roman"/>
          <w:sz w:val="20"/>
          <w:szCs w:val="20"/>
          <w:color w:val="auto"/>
        </w:rPr>
        <w:t>AGCO CORPORATION</w:t>
      </w:r>
    </w:p>
    <w:p>
      <w:pPr>
        <w:spacing w:after="0" w:line="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0"/>
          <w:szCs w:val="20"/>
          <w:color w:val="auto"/>
        </w:rPr>
        <w:t>CONDENSED CONSOLIDATED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and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3620" w:type="dxa"/>
            <w:vAlign w:val="bottom"/>
            <w:tcBorders>
              <w:bottom w:val="single" w:sz="8" w:color="auto"/>
            </w:tcBorders>
            <w:gridSpan w:val="5"/>
          </w:tcPr>
          <w:p>
            <w:pPr>
              <w:jc w:val="right"/>
              <w:ind w:right="45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36"/>
        </w:trPr>
        <w:tc>
          <w:tcPr>
            <w:tcW w:w="76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43"/>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625.8</w:t>
            </w:r>
          </w:p>
        </w:tc>
      </w:tr>
      <w:tr>
        <w:trPr>
          <w:trHeight w:val="243"/>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 operating activities:</w:t>
            </w:r>
          </w:p>
        </w:tc>
        <w:tc>
          <w:tcPr>
            <w:tcW w:w="1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43"/>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1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r>
      <w:tr>
        <w:trPr>
          <w:trHeight w:val="243"/>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43"/>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43"/>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Impairment charges</w:t>
            </w:r>
          </w:p>
        </w:tc>
        <w:tc>
          <w:tcPr>
            <w:tcW w:w="1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43"/>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sale of business</w:t>
            </w:r>
          </w:p>
        </w:tc>
        <w:tc>
          <w:tcPr>
            <w:tcW w:w="114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43"/>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on sale of investment in affiliate</w:t>
            </w:r>
          </w:p>
        </w:tc>
        <w:tc>
          <w:tcPr>
            <w:tcW w:w="1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r>
      <w:tr>
        <w:trPr>
          <w:trHeight w:val="243"/>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in net earnings of affiliates, net of cash received</w:t>
            </w:r>
          </w:p>
        </w:tc>
        <w:tc>
          <w:tcPr>
            <w:tcW w:w="1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43"/>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1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w:t>
            </w:r>
          </w:p>
        </w:tc>
      </w:tr>
      <w:tr>
        <w:trPr>
          <w:trHeight w:val="243"/>
        </w:trPr>
        <w:tc>
          <w:tcPr>
            <w:tcW w:w="7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43"/>
        </w:trPr>
        <w:tc>
          <w:tcPr>
            <w:tcW w:w="7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43"/>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1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r>
      <w:tr>
        <w:trPr>
          <w:trHeight w:val="243"/>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 net</w:t>
            </w:r>
          </w:p>
        </w:tc>
        <w:tc>
          <w:tcPr>
            <w:tcW w:w="1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r>
      <w:tr>
        <w:trPr>
          <w:trHeight w:val="243"/>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current and noncurrent assets</w:t>
            </w:r>
          </w:p>
        </w:tc>
        <w:tc>
          <w:tcPr>
            <w:tcW w:w="1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43"/>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r>
      <w:tr>
        <w:trPr>
          <w:trHeight w:val="243"/>
        </w:trPr>
        <w:tc>
          <w:tcPr>
            <w:tcW w:w="7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r>
      <w:tr>
        <w:trPr>
          <w:trHeight w:val="243"/>
        </w:trPr>
        <w:tc>
          <w:tcPr>
            <w:tcW w:w="7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and noncurrent liabilities</w:t>
            </w:r>
          </w:p>
        </w:tc>
        <w:tc>
          <w:tcPr>
            <w:tcW w:w="1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r>
      <w:tr>
        <w:trPr>
          <w:trHeight w:val="236"/>
        </w:trPr>
        <w:tc>
          <w:tcPr>
            <w:tcW w:w="76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adjustments</w:t>
            </w:r>
          </w:p>
        </w:tc>
        <w:tc>
          <w:tcPr>
            <w:tcW w:w="1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(401.3)</w:t>
            </w:r>
          </w:p>
        </w:tc>
      </w:tr>
      <w:tr>
        <w:trPr>
          <w:trHeight w:val="237"/>
        </w:trPr>
        <w:tc>
          <w:tcPr>
            <w:tcW w:w="7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3"/>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r>
      <w:tr>
        <w:trPr>
          <w:trHeight w:val="243"/>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business</w:t>
            </w:r>
          </w:p>
        </w:tc>
        <w:tc>
          <w:tcPr>
            <w:tcW w:w="114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43"/>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1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 of investments in unconsolidated affiliates</w:t>
            </w:r>
          </w:p>
        </w:tc>
        <w:tc>
          <w:tcPr>
            <w:tcW w:w="1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w:t>
            </w:r>
          </w:p>
        </w:tc>
      </w:tr>
      <w:tr>
        <w:trPr>
          <w:trHeight w:val="243"/>
        </w:trPr>
        <w:tc>
          <w:tcPr>
            <w:tcW w:w="7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6"/>
        </w:trPr>
        <w:tc>
          <w:tcPr>
            <w:tcW w:w="7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3"/>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indebtedness</w:t>
            </w:r>
          </w:p>
        </w:tc>
        <w:tc>
          <w:tcPr>
            <w:tcW w:w="1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w:t>
            </w:r>
          </w:p>
        </w:tc>
      </w:tr>
      <w:tr>
        <w:trPr>
          <w:trHeight w:val="243"/>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of indebtedness</w:t>
            </w:r>
          </w:p>
        </w:tc>
        <w:tc>
          <w:tcPr>
            <w:tcW w:w="1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w:t>
            </w:r>
          </w:p>
        </w:tc>
      </w:tr>
      <w:tr>
        <w:trPr>
          <w:trHeight w:val="243"/>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and retirement of common stock</w:t>
            </w:r>
          </w:p>
        </w:tc>
        <w:tc>
          <w:tcPr>
            <w:tcW w:w="1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dividends to stockholders</w:t>
            </w:r>
          </w:p>
        </w:tc>
        <w:tc>
          <w:tcPr>
            <w:tcW w:w="1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w:t>
            </w:r>
          </w:p>
        </w:tc>
      </w:tr>
      <w:tr>
        <w:trPr>
          <w:trHeight w:val="243"/>
        </w:trPr>
        <w:tc>
          <w:tcPr>
            <w:tcW w:w="7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of minimum tax withholdings on stock compensation</w:t>
            </w:r>
          </w:p>
        </w:tc>
        <w:tc>
          <w:tcPr>
            <w:tcW w:w="1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7"/>
        </w:trPr>
        <w:tc>
          <w:tcPr>
            <w:tcW w:w="76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r>
      <w:tr>
        <w:trPr>
          <w:trHeight w:val="23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cash equivalents and restricted cash</w:t>
            </w:r>
          </w:p>
        </w:tc>
        <w:tc>
          <w:tcPr>
            <w:tcW w:w="114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37"/>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1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w:t>
            </w:r>
          </w:p>
        </w:tc>
      </w:tr>
      <w:tr>
        <w:trPr>
          <w:trHeight w:val="243"/>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1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861.8</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r>
      <w:tr>
        <w:trPr>
          <w:trHeight w:val="236"/>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14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100" w:type="dxa"/>
            <w:vAlign w:val="bottom"/>
          </w:tcPr>
          <w:p>
            <w:pPr>
              <w:spacing w:after="0"/>
              <w:rPr>
                <w:sz w:val="20"/>
                <w:szCs w:val="20"/>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884.1</w:t>
            </w:r>
          </w:p>
        </w:tc>
      </w:tr>
      <w:tr>
        <w:trPr>
          <w:trHeight w:val="21"/>
        </w:trPr>
        <w:tc>
          <w:tcPr>
            <w:tcW w:w="76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condensed consolidated financial statements.</w:t>
      </w:r>
    </w:p>
    <w:p>
      <w:pPr>
        <w:sectPr>
          <w:pgSz w:w="11900" w:h="16838" w:orient="portrait"/>
          <w:cols w:equalWidth="0" w:num="1">
            <w:col w:w="11240"/>
          </w:cols>
          <w:pgMar w:left="320" w:top="927" w:right="339" w:bottom="1440" w:gutter="0" w:footer="0" w:header="0"/>
        </w:sectPr>
      </w:pPr>
    </w:p>
    <w:bookmarkStart w:id="15" w:name="page16"/>
    <w:bookmarkEnd w:id="15"/>
    <w:p>
      <w:pPr>
        <w:ind w:left="4620"/>
        <w:spacing w:after="0"/>
        <w:rPr>
          <w:sz w:val="20"/>
          <w:szCs w:val="20"/>
          <w:color w:val="auto"/>
        </w:rPr>
      </w:pPr>
      <w:r>
        <w:rPr>
          <w:rFonts w:ascii="Times New Roman" w:cs="Times New Roman" w:eastAsia="Times New Roman" w:hAnsi="Times New Roman"/>
          <w:sz w:val="20"/>
          <w:szCs w:val="20"/>
          <w:color w:val="auto"/>
        </w:rPr>
        <w:t>AGCO CORPORATION</w:t>
      </w:r>
    </w:p>
    <w:p>
      <w:pPr>
        <w:spacing w:after="0" w:line="28"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0"/>
          <w:szCs w:val="20"/>
          <w:color w:val="auto"/>
        </w:rPr>
        <w:t>NOTES TO CONDENSED CONSOLIDATED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 in millions)</w:t>
      </w:r>
    </w:p>
    <w:p>
      <w:pPr>
        <w:spacing w:after="0" w:line="23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SEGMENT REPORTING</w:t>
      </w:r>
    </w:p>
    <w:p>
      <w:pPr>
        <w:spacing w:after="0" w:line="247" w:lineRule="exact"/>
        <w:rPr>
          <w:sz w:val="20"/>
          <w:szCs w:val="20"/>
          <w:color w:val="auto"/>
        </w:rPr>
      </w:pPr>
    </w:p>
    <w:p>
      <w:pPr>
        <w:ind w:right="40" w:firstLine="194"/>
        <w:spacing w:after="0" w:line="240" w:lineRule="exact"/>
        <w:rPr>
          <w:sz w:val="20"/>
          <w:szCs w:val="20"/>
          <w:color w:val="auto"/>
        </w:rPr>
      </w:pPr>
      <w:r>
        <w:rPr>
          <w:rFonts w:ascii="Times New Roman" w:cs="Times New Roman" w:eastAsia="Times New Roman" w:hAnsi="Times New Roman"/>
          <w:sz w:val="19"/>
          <w:szCs w:val="19"/>
          <w:color w:val="auto"/>
        </w:rPr>
        <w:t>The Company has four operating segments which are also its reportable segments which consist of the North America, Latin America, Europe/Middle East and Asia/Pacific/Africa regions. Effective January 1, 2026, the Company realigned its organizational structure to support its Farmer</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First transformation initiatives in North America. As a result, the Company’s Mexico operations were transferred from the North America segment to the South America segment, which was renamed Latin America. Segment information for all prior periods presented has been retrospectively adjusted to reflect this change. The Company’s reportable segments are geography based and distribute a full range of agricultural machinery and precision agriculture technology. The Company’s Chief Operating Decision Maker (“CODM”), Eric P. Hansotia, Chairman of the Board, President and Chief Executive Officer, evaluates segment performance primarily based on income from operations. The CODM utilizes income from operations to evaluate each segment’s performance including the allocation of resources. Sales for each segment are based on the location of the third-party customer. The Company’s selling, general and administrative expenses and engineering expenses are generally charged to each segment based on the region and division where the expenses are incurred. As a result, the components of income (loss) from operations for one segment may not be comparable to another segment. Segment results for the three and nine months ended September 30, 2026 and 2025 based on the Company’s reportable segments are as follows (in millions):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North</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Europe/Middle</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4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60" w:type="dxa"/>
            <w:vAlign w:val="bottom"/>
          </w:tcPr>
          <w:p>
            <w:pPr>
              <w:spacing w:after="0"/>
              <w:rPr>
                <w:sz w:val="21"/>
                <w:szCs w:val="2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America</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120" w:type="dxa"/>
            <w:vAlign w:val="bottom"/>
          </w:tcPr>
          <w:p>
            <w:pPr>
              <w:spacing w:after="0"/>
              <w:rPr>
                <w:sz w:val="21"/>
                <w:szCs w:val="21"/>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East</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Asia/Pacific/Africa</w:t>
            </w:r>
          </w:p>
        </w:tc>
        <w:tc>
          <w:tcPr>
            <w:tcW w:w="16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Segments</w:t>
            </w:r>
          </w:p>
        </w:tc>
        <w:tc>
          <w:tcPr>
            <w:tcW w:w="0" w:type="dxa"/>
            <w:vAlign w:val="bottom"/>
          </w:tcPr>
          <w:p>
            <w:pPr>
              <w:spacing w:after="0"/>
              <w:rPr>
                <w:sz w:val="1"/>
                <w:szCs w:val="1"/>
                <w:color w:val="auto"/>
              </w:rPr>
            </w:pPr>
          </w:p>
        </w:tc>
      </w:tr>
      <w:tr>
        <w:trPr>
          <w:trHeight w:val="237"/>
        </w:trPr>
        <w:tc>
          <w:tcPr>
            <w:tcW w:w="4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1,306.1</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2,262.5</w:t>
            </w:r>
          </w:p>
        </w:tc>
        <w:tc>
          <w:tcPr>
            <w:tcW w:w="0" w:type="dxa"/>
            <w:vAlign w:val="bottom"/>
          </w:tcPr>
          <w:p>
            <w:pPr>
              <w:spacing w:after="0"/>
              <w:rPr>
                <w:sz w:val="1"/>
                <w:szCs w:val="1"/>
                <w:color w:val="auto"/>
              </w:rPr>
            </w:pPr>
          </w:p>
        </w:tc>
      </w:tr>
      <w:tr>
        <w:trPr>
          <w:trHeight w:val="24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960.8</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1,697.1</w:t>
            </w:r>
          </w:p>
        </w:tc>
        <w:tc>
          <w:tcPr>
            <w:tcW w:w="0" w:type="dxa"/>
            <w:vAlign w:val="bottom"/>
          </w:tcPr>
          <w:p>
            <w:pPr>
              <w:spacing w:after="0"/>
              <w:rPr>
                <w:sz w:val="1"/>
                <w:szCs w:val="1"/>
                <w:color w:val="auto"/>
              </w:rPr>
            </w:pPr>
          </w:p>
        </w:tc>
      </w:tr>
      <w:tr>
        <w:trPr>
          <w:trHeight w:val="243"/>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260.1</w:t>
            </w:r>
          </w:p>
        </w:tc>
        <w:tc>
          <w:tcPr>
            <w:tcW w:w="0" w:type="dxa"/>
            <w:vAlign w:val="bottom"/>
          </w:tcPr>
          <w:p>
            <w:pPr>
              <w:spacing w:after="0"/>
              <w:rPr>
                <w:sz w:val="1"/>
                <w:szCs w:val="1"/>
                <w:color w:val="auto"/>
              </w:rPr>
            </w:pPr>
          </w:p>
        </w:tc>
      </w:tr>
      <w:tr>
        <w:trPr>
          <w:trHeight w:val="243"/>
        </w:trPr>
        <w:tc>
          <w:tcPr>
            <w:tcW w:w="4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Engineering expenses</w:t>
            </w: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0" w:type="dxa"/>
            <w:vAlign w:val="bottom"/>
          </w:tcPr>
          <w:p>
            <w:pPr>
              <w:spacing w:after="0"/>
              <w:rPr>
                <w:sz w:val="1"/>
                <w:szCs w:val="1"/>
                <w:color w:val="auto"/>
              </w:rPr>
            </w:pPr>
          </w:p>
        </w:tc>
      </w:tr>
      <w:tr>
        <w:trPr>
          <w:trHeight w:val="262"/>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1,613.8</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2,476.3</w:t>
            </w:r>
          </w:p>
        </w:tc>
        <w:tc>
          <w:tcPr>
            <w:tcW w:w="0" w:type="dxa"/>
            <w:vAlign w:val="bottom"/>
          </w:tcPr>
          <w:p>
            <w:pPr>
              <w:spacing w:after="0"/>
              <w:rPr>
                <w:sz w:val="1"/>
                <w:szCs w:val="1"/>
                <w:color w:val="auto"/>
              </w:rPr>
            </w:pPr>
          </w:p>
        </w:tc>
      </w:tr>
      <w:tr>
        <w:trPr>
          <w:trHeight w:val="24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1,143.9</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1,829.8</w:t>
            </w:r>
          </w:p>
        </w:tc>
        <w:tc>
          <w:tcPr>
            <w:tcW w:w="0" w:type="dxa"/>
            <w:vAlign w:val="bottom"/>
          </w:tcPr>
          <w:p>
            <w:pPr>
              <w:spacing w:after="0"/>
              <w:rPr>
                <w:sz w:val="1"/>
                <w:szCs w:val="1"/>
                <w:color w:val="auto"/>
              </w:rPr>
            </w:pPr>
          </w:p>
        </w:tc>
      </w:tr>
      <w:tr>
        <w:trPr>
          <w:trHeight w:val="243"/>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0" w:type="dxa"/>
            <w:vAlign w:val="bottom"/>
          </w:tcPr>
          <w:p>
            <w:pPr>
              <w:spacing w:after="0"/>
              <w:rPr>
                <w:sz w:val="1"/>
                <w:szCs w:val="1"/>
                <w:color w:val="auto"/>
              </w:rPr>
            </w:pPr>
          </w:p>
        </w:tc>
      </w:tr>
      <w:tr>
        <w:trPr>
          <w:trHeight w:val="243"/>
        </w:trPr>
        <w:tc>
          <w:tcPr>
            <w:tcW w:w="4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Engineering expenses</w:t>
            </w: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0" w:type="dxa"/>
            <w:vAlign w:val="bottom"/>
          </w:tcPr>
          <w:p>
            <w:pPr>
              <w:spacing w:after="0"/>
              <w:rPr>
                <w:sz w:val="1"/>
                <w:szCs w:val="1"/>
                <w:color w:val="auto"/>
              </w:rPr>
            </w:pPr>
          </w:p>
        </w:tc>
      </w:tr>
      <w:tr>
        <w:trPr>
          <w:trHeight w:val="262"/>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927"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North</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Europe/Middle</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4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160" w:type="dxa"/>
            <w:vAlign w:val="bottom"/>
          </w:tcPr>
          <w:p>
            <w:pPr>
              <w:spacing w:after="0"/>
              <w:rPr>
                <w:sz w:val="21"/>
                <w:szCs w:val="2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America</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Latin America</w:t>
            </w:r>
          </w:p>
        </w:tc>
        <w:tc>
          <w:tcPr>
            <w:tcW w:w="120" w:type="dxa"/>
            <w:vAlign w:val="bottom"/>
          </w:tcPr>
          <w:p>
            <w:pPr>
              <w:spacing w:after="0"/>
              <w:rPr>
                <w:sz w:val="21"/>
                <w:szCs w:val="21"/>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6"/>
              </w:rPr>
              <w:t>East</w:t>
            </w:r>
          </w:p>
        </w:tc>
        <w:tc>
          <w:tcPr>
            <w:tcW w:w="1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Asia/Pacific/Africa</w:t>
            </w:r>
          </w:p>
        </w:tc>
        <w:tc>
          <w:tcPr>
            <w:tcW w:w="160" w:type="dxa"/>
            <w:vAlign w:val="bottom"/>
          </w:tcPr>
          <w:p>
            <w:pPr>
              <w:spacing w:after="0"/>
              <w:rPr>
                <w:sz w:val="21"/>
                <w:szCs w:val="21"/>
                <w:color w:val="auto"/>
              </w:rPr>
            </w:pPr>
          </w:p>
        </w:tc>
        <w:tc>
          <w:tcPr>
            <w:tcW w:w="9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Segments</w:t>
            </w:r>
          </w:p>
        </w:tc>
        <w:tc>
          <w:tcPr>
            <w:tcW w:w="0" w:type="dxa"/>
            <w:vAlign w:val="bottom"/>
          </w:tcPr>
          <w:p>
            <w:pPr>
              <w:spacing w:after="0"/>
              <w:rPr>
                <w:sz w:val="1"/>
                <w:szCs w:val="1"/>
                <w:color w:val="auto"/>
              </w:rPr>
            </w:pPr>
          </w:p>
        </w:tc>
      </w:tr>
      <w:tr>
        <w:trPr>
          <w:trHeight w:val="237"/>
        </w:trPr>
        <w:tc>
          <w:tcPr>
            <w:tcW w:w="47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4,639.3</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7,215.1</w:t>
            </w:r>
          </w:p>
        </w:tc>
        <w:tc>
          <w:tcPr>
            <w:tcW w:w="0" w:type="dxa"/>
            <w:vAlign w:val="bottom"/>
          </w:tcPr>
          <w:p>
            <w:pPr>
              <w:spacing w:after="0"/>
              <w:rPr>
                <w:sz w:val="1"/>
                <w:szCs w:val="1"/>
                <w:color w:val="auto"/>
              </w:rPr>
            </w:pPr>
          </w:p>
        </w:tc>
      </w:tr>
      <w:tr>
        <w:trPr>
          <w:trHeight w:val="24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3,322.7</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5,422.4</w:t>
            </w:r>
          </w:p>
        </w:tc>
        <w:tc>
          <w:tcPr>
            <w:tcW w:w="0" w:type="dxa"/>
            <w:vAlign w:val="bottom"/>
          </w:tcPr>
          <w:p>
            <w:pPr>
              <w:spacing w:after="0"/>
              <w:rPr>
                <w:sz w:val="1"/>
                <w:szCs w:val="1"/>
                <w:color w:val="auto"/>
              </w:rPr>
            </w:pPr>
          </w:p>
        </w:tc>
      </w:tr>
      <w:tr>
        <w:trPr>
          <w:trHeight w:val="243"/>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818.3</w:t>
            </w:r>
          </w:p>
        </w:tc>
        <w:tc>
          <w:tcPr>
            <w:tcW w:w="0" w:type="dxa"/>
            <w:vAlign w:val="bottom"/>
          </w:tcPr>
          <w:p>
            <w:pPr>
              <w:spacing w:after="0"/>
              <w:rPr>
                <w:sz w:val="1"/>
                <w:szCs w:val="1"/>
                <w:color w:val="auto"/>
              </w:rPr>
            </w:pPr>
          </w:p>
        </w:tc>
      </w:tr>
      <w:tr>
        <w:trPr>
          <w:trHeight w:val="243"/>
        </w:trPr>
        <w:tc>
          <w:tcPr>
            <w:tcW w:w="4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Engineering expenses</w:t>
            </w: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w:t>
            </w:r>
          </w:p>
        </w:tc>
        <w:tc>
          <w:tcPr>
            <w:tcW w:w="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0" w:type="dxa"/>
            <w:vAlign w:val="bottom"/>
          </w:tcPr>
          <w:p>
            <w:pPr>
              <w:spacing w:after="0"/>
              <w:rPr>
                <w:sz w:val="1"/>
                <w:szCs w:val="1"/>
                <w:color w:val="auto"/>
              </w:rPr>
            </w:pPr>
          </w:p>
        </w:tc>
      </w:tr>
      <w:tr>
        <w:trPr>
          <w:trHeight w:val="262"/>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931.9</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4,719.2</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7,161.8</w:t>
            </w:r>
          </w:p>
        </w:tc>
        <w:tc>
          <w:tcPr>
            <w:tcW w:w="0" w:type="dxa"/>
            <w:vAlign w:val="bottom"/>
          </w:tcPr>
          <w:p>
            <w:pPr>
              <w:spacing w:after="0"/>
              <w:rPr>
                <w:sz w:val="1"/>
                <w:szCs w:val="1"/>
                <w:color w:val="auto"/>
              </w:rPr>
            </w:pPr>
          </w:p>
        </w:tc>
      </w:tr>
      <w:tr>
        <w:trPr>
          <w:trHeight w:val="243"/>
        </w:trPr>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3,414.0</w:t>
            </w: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5,336.1</w:t>
            </w:r>
          </w:p>
        </w:tc>
        <w:tc>
          <w:tcPr>
            <w:tcW w:w="0" w:type="dxa"/>
            <w:vAlign w:val="bottom"/>
          </w:tcPr>
          <w:p>
            <w:pPr>
              <w:spacing w:after="0"/>
              <w:rPr>
                <w:sz w:val="1"/>
                <w:szCs w:val="1"/>
                <w:color w:val="auto"/>
              </w:rPr>
            </w:pPr>
          </w:p>
        </w:tc>
      </w:tr>
      <w:tr>
        <w:trPr>
          <w:trHeight w:val="243"/>
        </w:trPr>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824.0</w:t>
            </w:r>
          </w:p>
        </w:tc>
        <w:tc>
          <w:tcPr>
            <w:tcW w:w="0" w:type="dxa"/>
            <w:vAlign w:val="bottom"/>
          </w:tcPr>
          <w:p>
            <w:pPr>
              <w:spacing w:after="0"/>
              <w:rPr>
                <w:sz w:val="1"/>
                <w:szCs w:val="1"/>
                <w:color w:val="auto"/>
              </w:rPr>
            </w:pPr>
          </w:p>
        </w:tc>
      </w:tr>
      <w:tr>
        <w:trPr>
          <w:trHeight w:val="243"/>
        </w:trPr>
        <w:tc>
          <w:tcPr>
            <w:tcW w:w="4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Engineering expenses</w:t>
            </w:r>
          </w:p>
        </w:tc>
        <w:tc>
          <w:tcPr>
            <w:tcW w:w="1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356.8</w:t>
            </w:r>
          </w:p>
        </w:tc>
        <w:tc>
          <w:tcPr>
            <w:tcW w:w="0" w:type="dxa"/>
            <w:vAlign w:val="bottom"/>
          </w:tcPr>
          <w:p>
            <w:pPr>
              <w:spacing w:after="0"/>
              <w:rPr>
                <w:sz w:val="1"/>
                <w:szCs w:val="1"/>
                <w:color w:val="auto"/>
              </w:rPr>
            </w:pPr>
          </w:p>
        </w:tc>
      </w:tr>
      <w:tr>
        <w:trPr>
          <w:trHeight w:val="262"/>
        </w:trPr>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668.1</w:t>
            </w:r>
          </w:p>
        </w:tc>
        <w:tc>
          <w:tcPr>
            <w:tcW w:w="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A reconciliation from the segment information to the consolidated balances for income from operations is set forth below (in millions):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tcPr>
          <w:p>
            <w:pPr>
              <w:spacing w:after="0"/>
              <w:rPr>
                <w:sz w:val="17"/>
                <w:szCs w:val="17"/>
                <w:color w:val="auto"/>
              </w:rPr>
            </w:pPr>
          </w:p>
        </w:tc>
        <w:tc>
          <w:tcPr>
            <w:tcW w:w="260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Three Months Ended</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color w:val="auto"/>
              </w:rPr>
              <w:t>Nine Months Ended</w:t>
            </w:r>
          </w:p>
        </w:tc>
        <w:tc>
          <w:tcPr>
            <w:tcW w:w="580" w:type="dxa"/>
            <w:vAlign w:val="bottom"/>
          </w:tcPr>
          <w:p>
            <w:pPr>
              <w:spacing w:after="0"/>
              <w:rPr>
                <w:sz w:val="17"/>
                <w:szCs w:val="17"/>
                <w:color w:val="auto"/>
              </w:rPr>
            </w:pPr>
          </w:p>
        </w:tc>
      </w:tr>
      <w:tr>
        <w:trPr>
          <w:trHeight w:val="234"/>
        </w:trPr>
        <w:tc>
          <w:tcPr>
            <w:tcW w:w="486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September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September 30,</w:t>
            </w:r>
          </w:p>
        </w:tc>
        <w:tc>
          <w:tcPr>
            <w:tcW w:w="580" w:type="dxa"/>
            <w:vAlign w:val="bottom"/>
            <w:tcBorders>
              <w:bottom w:val="single" w:sz="8" w:color="auto"/>
            </w:tcBorders>
          </w:tcPr>
          <w:p>
            <w:pPr>
              <w:spacing w:after="0"/>
              <w:rPr>
                <w:sz w:val="20"/>
                <w:szCs w:val="20"/>
                <w:color w:val="auto"/>
              </w:rPr>
            </w:pPr>
          </w:p>
        </w:tc>
      </w:tr>
      <w:tr>
        <w:trPr>
          <w:trHeight w:val="236"/>
        </w:trPr>
        <w:tc>
          <w:tcPr>
            <w:tcW w:w="486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tcBorders>
              <w:bottom w:val="single" w:sz="8" w:color="auto"/>
            </w:tcBorders>
          </w:tcPr>
          <w:p>
            <w:pPr>
              <w:spacing w:after="0"/>
              <w:rPr>
                <w:sz w:val="20"/>
                <w:szCs w:val="20"/>
                <w:color w:val="auto"/>
              </w:rPr>
            </w:pPr>
          </w:p>
        </w:tc>
      </w:tr>
      <w:tr>
        <w:trPr>
          <w:trHeight w:val="237"/>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income from operations</w:t>
            </w:r>
          </w:p>
        </w:tc>
        <w:tc>
          <w:tcPr>
            <w:tcW w:w="10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w:t>
            </w: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1000" w:type="dxa"/>
            <w:vAlign w:val="bottom"/>
          </w:tcPr>
          <w:p>
            <w:pPr>
              <w:spacing w:after="0"/>
              <w:rPr>
                <w:sz w:val="21"/>
                <w:szCs w:val="21"/>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4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sale of business</w:t>
            </w:r>
          </w:p>
        </w:tc>
        <w:tc>
          <w:tcPr>
            <w:tcW w:w="10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(126.4)</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r>
      <w:tr>
        <w:trPr>
          <w:trHeight w:val="24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0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0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43"/>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business optimization expenses</w:t>
            </w:r>
          </w:p>
        </w:tc>
        <w:tc>
          <w:tcPr>
            <w:tcW w:w="100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37"/>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income from operations</w:t>
            </w:r>
          </w:p>
        </w:tc>
        <w:tc>
          <w:tcPr>
            <w:tcW w:w="10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tcPr>
          <w:p>
            <w:pPr>
              <w:spacing w:after="0"/>
              <w:rPr>
                <w:sz w:val="20"/>
                <w:szCs w:val="20"/>
                <w:color w:val="auto"/>
              </w:rPr>
            </w:pP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100" w:type="dxa"/>
            <w:vAlign w:val="bottom"/>
          </w:tcPr>
          <w:p>
            <w:pPr>
              <w:spacing w:after="0"/>
              <w:rPr>
                <w:sz w:val="20"/>
                <w:szCs w:val="20"/>
                <w:color w:val="auto"/>
              </w:rPr>
            </w:pP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365.0</w:t>
            </w:r>
          </w:p>
        </w:tc>
      </w:tr>
      <w:tr>
        <w:trPr>
          <w:trHeight w:val="20"/>
        </w:trPr>
        <w:tc>
          <w:tcPr>
            <w:tcW w:w="48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59" w:right="339" w:bottom="1440" w:gutter="0" w:footer="0" w:header="0"/>
        </w:sectPr>
      </w:pPr>
    </w:p>
    <w:bookmarkStart w:id="17" w:name="page18"/>
    <w:bookmarkEnd w:id="17"/>
    <w:p>
      <w:pPr>
        <w:jc w:val="center"/>
        <w:ind w:right="220"/>
        <w:spacing w:after="0"/>
        <w:rPr>
          <w:sz w:val="20"/>
          <w:szCs w:val="20"/>
          <w:color w:val="auto"/>
        </w:rPr>
      </w:pPr>
      <w:r>
        <w:rPr>
          <w:rFonts w:ascii="Times New Roman" w:cs="Times New Roman" w:eastAsia="Times New Roman" w:hAnsi="Times New Roman"/>
          <w:sz w:val="20"/>
          <w:szCs w:val="20"/>
          <w:b w:val="1"/>
          <w:bCs w:val="1"/>
          <w:color w:val="auto"/>
        </w:rPr>
        <w:t>RECONCILIATION OF NON-GAAP MEASURES</w:t>
      </w:r>
    </w:p>
    <w:p>
      <w:pPr>
        <w:spacing w:after="0" w:line="260" w:lineRule="exact"/>
        <w:rPr>
          <w:sz w:val="20"/>
          <w:szCs w:val="20"/>
          <w:color w:val="auto"/>
        </w:rPr>
      </w:pPr>
    </w:p>
    <w:p>
      <w:pPr>
        <w:jc w:val="both"/>
        <w:ind w:right="100" w:firstLine="194"/>
        <w:spacing w:after="0" w:line="254" w:lineRule="auto"/>
        <w:rPr>
          <w:sz w:val="20"/>
          <w:szCs w:val="20"/>
          <w:color w:val="auto"/>
        </w:rPr>
      </w:pPr>
      <w:r>
        <w:rPr>
          <w:rFonts w:ascii="Times New Roman" w:cs="Times New Roman" w:eastAsia="Times New Roman" w:hAnsi="Times New Roman"/>
          <w:sz w:val="20"/>
          <w:szCs w:val="20"/>
          <w:color w:val="auto"/>
        </w:rPr>
        <w:t>This earnings release discloses adjusted income from operations, adjusted operating margin, adjusted net income, adjusted net income per share and net sales on a constant currency basis, each of which excludes amounts that are typically included in the most directly comparable measure calculated in accordance with U.S. generally accepted accounting principles (“GAAP”). A reconciliation of each of those measures to the most directly comparable GAAP measure is included below.</w:t>
      </w:r>
    </w:p>
    <w:p>
      <w:pPr>
        <w:spacing w:after="0" w:line="214" w:lineRule="exact"/>
        <w:rPr>
          <w:sz w:val="20"/>
          <w:szCs w:val="20"/>
          <w:color w:val="auto"/>
        </w:rPr>
      </w:pPr>
    </w:p>
    <w:p>
      <w:pPr>
        <w:ind w:right="480" w:firstLine="194"/>
        <w:spacing w:after="0" w:line="261" w:lineRule="auto"/>
        <w:rPr>
          <w:sz w:val="20"/>
          <w:szCs w:val="20"/>
          <w:color w:val="auto"/>
        </w:rPr>
      </w:pPr>
      <w:r>
        <w:rPr>
          <w:rFonts w:ascii="Times New Roman" w:cs="Times New Roman" w:eastAsia="Times New Roman" w:hAnsi="Times New Roman"/>
          <w:sz w:val="20"/>
          <w:szCs w:val="20"/>
          <w:color w:val="auto"/>
        </w:rPr>
        <w:t>The following is a reconciliation of reported income from operations, net income attributable to AGCO and net income per share attributable to AGCO to adjusted income from operations, adjusted net income and adjusted net income per share for the three and nine months ended September 30, 2026 and 2025 (in millions, except per share data):</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37"/>
        </w:trPr>
        <w:tc>
          <w:tcPr>
            <w:tcW w:w="3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183"/>
        </w:trPr>
        <w:tc>
          <w:tcPr>
            <w:tcW w:w="3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color w:val="auto"/>
              </w:rPr>
              <w:t>Income From</w:t>
            </w: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3"/>
          </w:tcPr>
          <w:p>
            <w:pPr>
              <w:ind w:left="40"/>
              <w:spacing w:after="0" w:line="182" w:lineRule="exact"/>
              <w:rPr>
                <w:sz w:val="20"/>
                <w:szCs w:val="20"/>
                <w:color w:val="auto"/>
              </w:rPr>
            </w:pPr>
            <w:r>
              <w:rPr>
                <w:rFonts w:ascii="Times New Roman" w:cs="Times New Roman" w:eastAsia="Times New Roman" w:hAnsi="Times New Roman"/>
                <w:sz w:val="18"/>
                <w:szCs w:val="18"/>
                <w:color w:val="auto"/>
              </w:rPr>
              <w:t>Net Income Per</w:t>
            </w:r>
          </w:p>
        </w:tc>
        <w:tc>
          <w:tcPr>
            <w:tcW w:w="140" w:type="dxa"/>
            <w:vAlign w:val="bottom"/>
          </w:tcPr>
          <w:p>
            <w:pPr>
              <w:spacing w:after="0"/>
              <w:rPr>
                <w:sz w:val="15"/>
                <w:szCs w:val="15"/>
                <w:color w:val="auto"/>
              </w:rPr>
            </w:pPr>
          </w:p>
        </w:tc>
        <w:tc>
          <w:tcPr>
            <w:tcW w:w="128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color w:val="auto"/>
              </w:rPr>
              <w:t>Income From</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ind w:left="40"/>
              <w:spacing w:after="0" w:line="182" w:lineRule="exact"/>
              <w:rPr>
                <w:sz w:val="20"/>
                <w:szCs w:val="20"/>
                <w:color w:val="auto"/>
              </w:rPr>
            </w:pPr>
            <w:r>
              <w:rPr>
                <w:rFonts w:ascii="Times New Roman" w:cs="Times New Roman" w:eastAsia="Times New Roman" w:hAnsi="Times New Roman"/>
                <w:sz w:val="18"/>
                <w:szCs w:val="18"/>
                <w:color w:val="auto"/>
              </w:rPr>
              <w:t>Net Income Per</w:t>
            </w:r>
          </w:p>
        </w:tc>
      </w:tr>
      <w:tr>
        <w:trPr>
          <w:trHeight w:val="243"/>
        </w:trPr>
        <w:tc>
          <w:tcPr>
            <w:tcW w:w="32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Operations</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Net Income</w:t>
            </w:r>
            <w:r>
              <w:rPr>
                <w:rFonts w:ascii="Times New Roman" w:cs="Times New Roman" w:eastAsia="Times New Roman" w:hAnsi="Times New Roman"/>
                <w:sz w:val="10"/>
                <w:szCs w:val="10"/>
                <w:color w:val="auto"/>
                <w:w w:val="99"/>
              </w:rPr>
              <w:t>(1)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Share</w:t>
            </w:r>
            <w:r>
              <w:rPr>
                <w:rFonts w:ascii="Times New Roman" w:cs="Times New Roman" w:eastAsia="Times New Roman" w:hAnsi="Times New Roman"/>
                <w:sz w:val="10"/>
                <w:szCs w:val="10"/>
                <w:color w:val="auto"/>
              </w:rPr>
              <w:t>(1)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Operations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7"/>
              </w:rPr>
              <w:t>Net Income</w:t>
            </w:r>
            <w:r>
              <w:rPr>
                <w:rFonts w:ascii="Times New Roman" w:cs="Times New Roman" w:eastAsia="Times New Roman" w:hAnsi="Times New Roman"/>
                <w:sz w:val="10"/>
                <w:szCs w:val="10"/>
                <w:color w:val="auto"/>
                <w:w w:val="97"/>
              </w:rPr>
              <w:t>(1)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Share</w:t>
            </w:r>
            <w:r>
              <w:rPr>
                <w:rFonts w:ascii="Times New Roman" w:cs="Times New Roman" w:eastAsia="Times New Roman" w:hAnsi="Times New Roman"/>
                <w:sz w:val="10"/>
                <w:szCs w:val="10"/>
                <w:color w:val="auto"/>
              </w:rPr>
              <w:t>(1)</w:t>
            </w:r>
          </w:p>
        </w:tc>
      </w:tr>
      <w:tr>
        <w:trPr>
          <w:trHeight w:val="236"/>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reported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4.09</w:t>
            </w:r>
          </w:p>
        </w:tc>
      </w:tr>
      <w:tr>
        <w:trPr>
          <w:trHeight w:val="189"/>
        </w:trPr>
        <w:tc>
          <w:tcPr>
            <w:tcW w:w="32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Restructuring and business optimization</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43"/>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10"/>
                <w:szCs w:val="10"/>
                <w:color w:val="auto"/>
              </w:rPr>
              <w:t>(2)</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0.08</w:t>
            </w:r>
          </w:p>
        </w:tc>
      </w:tr>
      <w:tr>
        <w:trPr>
          <w:trHeight w:val="189"/>
        </w:trPr>
        <w:tc>
          <w:tcPr>
            <w:tcW w:w="32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Amortization of PTx Trimble acquired</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4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w:t>
            </w:r>
            <w:r>
              <w:rPr>
                <w:rFonts w:ascii="Times New Roman" w:cs="Times New Roman" w:eastAsia="Times New Roman" w:hAnsi="Times New Roman"/>
                <w:sz w:val="10"/>
                <w:szCs w:val="10"/>
                <w:color w:val="auto"/>
              </w:rPr>
              <w:t>(3)</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center"/>
              <w:ind w:left="410"/>
              <w:spacing w:after="0"/>
              <w:rPr>
                <w:sz w:val="20"/>
                <w:szCs w:val="20"/>
                <w:color w:val="auto"/>
              </w:rPr>
            </w:pPr>
            <w:r>
              <w:rPr>
                <w:rFonts w:ascii="Times New Roman" w:cs="Times New Roman" w:eastAsia="Times New Roman" w:hAnsi="Times New Roman"/>
                <w:sz w:val="18"/>
                <w:szCs w:val="18"/>
                <w:color w:val="auto"/>
              </w:rPr>
              <w:t>0.16</w:t>
            </w:r>
          </w:p>
        </w:tc>
      </w:tr>
      <w:tr>
        <w:trPr>
          <w:trHeight w:val="243"/>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Transaction-related costs</w:t>
            </w:r>
            <w:r>
              <w:rPr>
                <w:rFonts w:ascii="Times New Roman" w:cs="Times New Roman" w:eastAsia="Times New Roman" w:hAnsi="Times New Roman"/>
                <w:sz w:val="10"/>
                <w:szCs w:val="10"/>
                <w:color w:val="auto"/>
              </w:rPr>
              <w:t>(4)</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0.02</w:t>
            </w:r>
          </w:p>
        </w:tc>
      </w:tr>
      <w:tr>
        <w:trPr>
          <w:trHeight w:val="24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charges</w:t>
            </w:r>
            <w:r>
              <w:rPr>
                <w:rFonts w:ascii="Times New Roman" w:cs="Times New Roman" w:eastAsia="Times New Roman" w:hAnsi="Times New Roman"/>
                <w:sz w:val="10"/>
                <w:szCs w:val="10"/>
                <w:color w:val="auto"/>
              </w:rPr>
              <w:t>(5)</w:t>
            </w: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6"/>
              </w:rPr>
              <w:t>(0.01)</w:t>
            </w:r>
          </w:p>
        </w:tc>
      </w:tr>
      <w:tr>
        <w:trPr>
          <w:trHeight w:val="243"/>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investment in affiliate</w:t>
            </w:r>
            <w:r>
              <w:rPr>
                <w:rFonts w:ascii="Times New Roman" w:cs="Times New Roman" w:eastAsia="Times New Roman" w:hAnsi="Times New Roman"/>
                <w:sz w:val="10"/>
                <w:szCs w:val="10"/>
                <w:color w:val="auto"/>
              </w:rPr>
              <w:t>(6)</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6"/>
              </w:rPr>
              <w:t>(2.93)</w:t>
            </w:r>
          </w:p>
        </w:tc>
      </w:tr>
      <w:tr>
        <w:trPr>
          <w:trHeight w:val="243"/>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Discrete tax items</w:t>
            </w:r>
            <w:r>
              <w:rPr>
                <w:rFonts w:ascii="Times New Roman" w:cs="Times New Roman" w:eastAsia="Times New Roman" w:hAnsi="Times New Roman"/>
                <w:sz w:val="10"/>
                <w:szCs w:val="10"/>
                <w:color w:val="auto"/>
              </w:rPr>
              <w:t>(7)</w:t>
            </w:r>
          </w:p>
        </w:tc>
        <w:tc>
          <w:tcPr>
            <w:tcW w:w="1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6"/>
              </w:rPr>
              <w:t>(0.06)</w:t>
            </w:r>
          </w:p>
        </w:tc>
      </w:tr>
      <w:tr>
        <w:trPr>
          <w:trHeight w:val="236"/>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adjusted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1.35</w:t>
            </w:r>
          </w:p>
        </w:tc>
      </w:tr>
      <w:tr>
        <w:trPr>
          <w:trHeight w:val="21"/>
        </w:trPr>
        <w:tc>
          <w:tcPr>
            <w:tcW w:w="3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____________________________________</w:t>
      </w:r>
    </w:p>
    <w:p>
      <w:pPr>
        <w:spacing w:after="0" w:line="14" w:lineRule="exact"/>
        <w:rPr>
          <w:sz w:val="20"/>
          <w:szCs w:val="20"/>
          <w:color w:val="auto"/>
        </w:rPr>
      </w:pPr>
    </w:p>
    <w:p>
      <w:pPr>
        <w:ind w:left="380" w:hanging="291"/>
        <w:spacing w:after="0"/>
        <w:tabs>
          <w:tab w:leader="none" w:pos="38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income and net income per share amounts are after tax.</w:t>
      </w:r>
    </w:p>
    <w:p>
      <w:pPr>
        <w:spacing w:after="0" w:line="50" w:lineRule="exact"/>
        <w:rPr>
          <w:rFonts w:ascii="Times New Roman" w:cs="Times New Roman" w:eastAsia="Times New Roman" w:hAnsi="Times New Roman"/>
          <w:sz w:val="21"/>
          <w:szCs w:val="21"/>
          <w:color w:val="auto"/>
          <w:vertAlign w:val="superscript"/>
        </w:rPr>
      </w:pPr>
    </w:p>
    <w:p>
      <w:pPr>
        <w:ind w:left="340" w:right="400" w:hanging="251"/>
        <w:spacing w:after="0" w:line="215" w:lineRule="auto"/>
        <w:tabs>
          <w:tab w:leader="none" w:pos="379"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restructuring expenses recorded during the three months ended September 30, 2026 and 2025 related primarily to severance, business optimization and other related costs associated with the Company’s restructuring program.</w:t>
      </w:r>
    </w:p>
    <w:p>
      <w:pPr>
        <w:ind w:left="360" w:hanging="271"/>
        <w:spacing w:after="0" w:line="228" w:lineRule="auto"/>
        <w:tabs>
          <w:tab w:leader="none" w:pos="36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Amortization of intangibles related to intangibles acquired as part of the Company’s acquisition of PTx Trimble.</w:t>
      </w:r>
    </w:p>
    <w:p>
      <w:pPr>
        <w:spacing w:after="0" w:line="37" w:lineRule="exact"/>
        <w:rPr>
          <w:rFonts w:ascii="Times New Roman" w:cs="Times New Roman" w:eastAsia="Times New Roman" w:hAnsi="Times New Roman"/>
          <w:sz w:val="21"/>
          <w:szCs w:val="21"/>
          <w:color w:val="auto"/>
          <w:vertAlign w:val="superscript"/>
        </w:rPr>
      </w:pPr>
    </w:p>
    <w:p>
      <w:pPr>
        <w:ind w:left="340" w:right="180" w:hanging="251"/>
        <w:spacing w:after="0" w:line="215" w:lineRule="auto"/>
        <w:tabs>
          <w:tab w:leader="none" w:pos="379"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transaction-related costs recorded during the three months ended September 30, 2025 related to the Company’s divestiture of the majority of its Grain &amp; Protein (“G&amp;P”) business.</w:t>
      </w:r>
    </w:p>
    <w:p>
      <w:pPr>
        <w:ind w:left="380" w:hanging="291"/>
        <w:spacing w:after="0" w:line="228" w:lineRule="auto"/>
        <w:tabs>
          <w:tab w:leader="none" w:pos="380"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impairment charges recorded during the three months ended September 30, 2025 primarily related to the impairment of certain other assets.</w:t>
      </w:r>
    </w:p>
    <w:p>
      <w:pPr>
        <w:spacing w:after="0" w:line="37" w:lineRule="exact"/>
        <w:rPr>
          <w:rFonts w:ascii="Times New Roman" w:cs="Times New Roman" w:eastAsia="Times New Roman" w:hAnsi="Times New Roman"/>
          <w:sz w:val="21"/>
          <w:szCs w:val="21"/>
          <w:color w:val="auto"/>
          <w:vertAlign w:val="superscript"/>
        </w:rPr>
      </w:pPr>
    </w:p>
    <w:p>
      <w:pPr>
        <w:ind w:left="340" w:right="180" w:hanging="251"/>
        <w:spacing w:after="0" w:line="229" w:lineRule="auto"/>
        <w:tabs>
          <w:tab w:leader="none" w:pos="379"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gain on sale of investment in affiliate recorded during the three months ended September 30, 2025 related to the sale of the Company’s ownership interest in Tractors and Farm Equipment Limited (“TAFE”). Foreign currency translation impacts since the inception of the investment in affiliate previously recognized within “Accumulated other comprehensive loss” were recorded within “Other expense (income), net” in the Company’s Condensed Consolidated Statement of Operations.</w:t>
      </w:r>
    </w:p>
    <w:p>
      <w:pPr>
        <w:spacing w:after="0" w:line="21" w:lineRule="exact"/>
        <w:rPr>
          <w:rFonts w:ascii="Times New Roman" w:cs="Times New Roman" w:eastAsia="Times New Roman" w:hAnsi="Times New Roman"/>
          <w:sz w:val="21"/>
          <w:szCs w:val="21"/>
          <w:color w:val="auto"/>
          <w:vertAlign w:val="superscript"/>
        </w:rPr>
      </w:pPr>
    </w:p>
    <w:p>
      <w:pPr>
        <w:ind w:left="340" w:hanging="251"/>
        <w:spacing w:after="0" w:line="237" w:lineRule="auto"/>
        <w:tabs>
          <w:tab w:leader="none" w:pos="382" w:val="left"/>
        </w:tabs>
        <w:numPr>
          <w:ilvl w:val="0"/>
          <w:numId w:val="1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the three months ended September 30, 2026 and 2025, the Company’s income tax provision included a $4.0 million net tax expense related to the refinement of estimated state tax benefits previously recognized in connection with the 2025 legal entity reorganization and a $4.7 million net tax benefit related to a legal entity reorganization, respectively.</w:t>
      </w:r>
    </w:p>
    <w:p>
      <w:pPr>
        <w:sectPr>
          <w:pgSz w:w="11900" w:h="16838" w:orient="portrait"/>
          <w:cols w:equalWidth="0" w:num="1">
            <w:col w:w="11220"/>
          </w:cols>
          <w:pgMar w:left="320" w:top="923" w:right="3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36"/>
        </w:trPr>
        <w:tc>
          <w:tcPr>
            <w:tcW w:w="3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183"/>
        </w:trPr>
        <w:tc>
          <w:tcPr>
            <w:tcW w:w="3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Income From</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5"/>
                <w:szCs w:val="15"/>
                <w:color w:val="auto"/>
              </w:rPr>
            </w:pPr>
          </w:p>
        </w:tc>
        <w:tc>
          <w:tcPr>
            <w:tcW w:w="12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Income From</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rPr>
              <w:t>Net Income</w:t>
            </w:r>
          </w:p>
        </w:tc>
      </w:tr>
      <w:tr>
        <w:trPr>
          <w:trHeight w:val="243"/>
        </w:trPr>
        <w:tc>
          <w:tcPr>
            <w:tcW w:w="3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Operations</w:t>
            </w:r>
          </w:p>
        </w:tc>
        <w:tc>
          <w:tcPr>
            <w:tcW w:w="10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Net Income</w:t>
            </w:r>
            <w:r>
              <w:rPr>
                <w:rFonts w:ascii="Times New Roman" w:cs="Times New Roman" w:eastAsia="Times New Roman" w:hAnsi="Times New Roman"/>
                <w:sz w:val="10"/>
                <w:szCs w:val="10"/>
                <w:color w:val="auto"/>
              </w:rPr>
              <w:t>(1)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Per Share</w:t>
            </w:r>
            <w:r>
              <w:rPr>
                <w:rFonts w:ascii="Times New Roman" w:cs="Times New Roman" w:eastAsia="Times New Roman" w:hAnsi="Times New Roman"/>
                <w:sz w:val="10"/>
                <w:szCs w:val="10"/>
                <w:color w:val="auto"/>
              </w:rPr>
              <w:t>(1)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Operations</w:t>
            </w:r>
          </w:p>
        </w:tc>
        <w:tc>
          <w:tcPr>
            <w:tcW w:w="10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Net Income</w:t>
            </w:r>
            <w:r>
              <w:rPr>
                <w:rFonts w:ascii="Times New Roman" w:cs="Times New Roman" w:eastAsia="Times New Roman" w:hAnsi="Times New Roman"/>
                <w:sz w:val="10"/>
                <w:szCs w:val="10"/>
                <w:color w:val="auto"/>
              </w:rPr>
              <w:t>(1)</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Per Share</w:t>
            </w:r>
            <w:r>
              <w:rPr>
                <w:rFonts w:ascii="Times New Roman" w:cs="Times New Roman" w:eastAsia="Times New Roman" w:hAnsi="Times New Roman"/>
                <w:sz w:val="10"/>
                <w:szCs w:val="10"/>
                <w:color w:val="auto"/>
              </w:rPr>
              <w:t>(1)</w:t>
            </w:r>
          </w:p>
        </w:tc>
      </w:tr>
      <w:tr>
        <w:trPr>
          <w:trHeight w:val="237"/>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reported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r>
      <w:tr>
        <w:trPr>
          <w:trHeight w:val="189"/>
        </w:trPr>
        <w:tc>
          <w:tcPr>
            <w:tcW w:w="31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Restructuring and business optimization</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r>
              <w:rPr>
                <w:rFonts w:ascii="Times New Roman" w:cs="Times New Roman" w:eastAsia="Times New Roman" w:hAnsi="Times New Roman"/>
                <w:sz w:val="10"/>
                <w:szCs w:val="10"/>
                <w:color w:val="auto"/>
              </w:rPr>
              <w:t>(2)</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r>
      <w:tr>
        <w:trPr>
          <w:trHeight w:val="189"/>
        </w:trPr>
        <w:tc>
          <w:tcPr>
            <w:tcW w:w="31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Amortization of PTx Trimble acquired</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intangibles</w:t>
            </w:r>
            <w:r>
              <w:rPr>
                <w:rFonts w:ascii="Times New Roman" w:cs="Times New Roman" w:eastAsia="Times New Roman" w:hAnsi="Times New Roman"/>
                <w:sz w:val="10"/>
                <w:szCs w:val="10"/>
                <w:color w:val="auto"/>
              </w:rPr>
              <w:t>(3)</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r>
      <w:tr>
        <w:trPr>
          <w:trHeight w:val="24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Transaction-related costs</w:t>
            </w:r>
            <w:r>
              <w:rPr>
                <w:rFonts w:ascii="Times New Roman" w:cs="Times New Roman" w:eastAsia="Times New Roman" w:hAnsi="Times New Roman"/>
                <w:sz w:val="10"/>
                <w:szCs w:val="10"/>
                <w:color w:val="auto"/>
              </w:rPr>
              <w:t>(4)</w:t>
            </w:r>
          </w:p>
        </w:tc>
        <w:tc>
          <w:tcPr>
            <w:tcW w:w="1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r>
      <w:tr>
        <w:trPr>
          <w:trHeight w:val="24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charges</w:t>
            </w:r>
            <w:r>
              <w:rPr>
                <w:rFonts w:ascii="Times New Roman" w:cs="Times New Roman" w:eastAsia="Times New Roman" w:hAnsi="Times New Roman"/>
                <w:sz w:val="10"/>
                <w:szCs w:val="10"/>
                <w:color w:val="auto"/>
              </w:rPr>
              <w:t>(5)</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r>
      <w:tr>
        <w:trPr>
          <w:trHeight w:val="24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sale of business</w:t>
            </w:r>
            <w:r>
              <w:rPr>
                <w:rFonts w:ascii="Times New Roman" w:cs="Times New Roman" w:eastAsia="Times New Roman" w:hAnsi="Times New Roman"/>
                <w:sz w:val="10"/>
                <w:szCs w:val="10"/>
                <w:color w:val="auto"/>
              </w:rPr>
              <w:t>(6)</w:t>
            </w:r>
          </w:p>
        </w:tc>
        <w:tc>
          <w:tcPr>
            <w:tcW w:w="1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189"/>
        </w:trPr>
        <w:tc>
          <w:tcPr>
            <w:tcW w:w="31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Divestiture-related foreign currency</w:t>
            </w: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translation release</w:t>
            </w:r>
            <w:r>
              <w:rPr>
                <w:rFonts w:ascii="Times New Roman" w:cs="Times New Roman" w:eastAsia="Times New Roman" w:hAnsi="Times New Roman"/>
                <w:sz w:val="10"/>
                <w:szCs w:val="10"/>
                <w:color w:val="auto"/>
              </w:rPr>
              <w:t>(7)</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investment in affiliate</w:t>
            </w:r>
            <w:r>
              <w:rPr>
                <w:rFonts w:ascii="Times New Roman" w:cs="Times New Roman" w:eastAsia="Times New Roman" w:hAnsi="Times New Roman"/>
                <w:sz w:val="10"/>
                <w:szCs w:val="10"/>
                <w:color w:val="auto"/>
              </w:rPr>
              <w:t>(8)</w:t>
            </w:r>
          </w:p>
        </w:tc>
        <w:tc>
          <w:tcPr>
            <w:tcW w:w="1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43"/>
        </w:trPr>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Discrete tax items</w:t>
            </w:r>
            <w:r>
              <w:rPr>
                <w:rFonts w:ascii="Times New Roman" w:cs="Times New Roman" w:eastAsia="Times New Roman" w:hAnsi="Times New Roman"/>
                <w:sz w:val="10"/>
                <w:szCs w:val="10"/>
                <w:color w:val="auto"/>
              </w:rPr>
              <w:t>(9)</w:t>
            </w:r>
          </w:p>
        </w:tc>
        <w:tc>
          <w:tcPr>
            <w:tcW w:w="1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36"/>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adjusted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1"/>
        </w:trPr>
        <w:tc>
          <w:tcPr>
            <w:tcW w:w="3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w:t>
      </w:r>
    </w:p>
    <w:p>
      <w:pPr>
        <w:spacing w:after="0" w:line="14" w:lineRule="exact"/>
        <w:rPr>
          <w:sz w:val="20"/>
          <w:szCs w:val="20"/>
          <w:color w:val="auto"/>
        </w:rPr>
      </w:pPr>
    </w:p>
    <w:p>
      <w:pPr>
        <w:ind w:left="300" w:hanging="291"/>
        <w:spacing w:after="0"/>
        <w:tabs>
          <w:tab w:leader="none" w:pos="30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Net income and net income per share amounts are after tax.</w:t>
      </w:r>
    </w:p>
    <w:p>
      <w:pPr>
        <w:spacing w:after="0" w:line="37" w:lineRule="exact"/>
        <w:rPr>
          <w:rFonts w:ascii="Times New Roman" w:cs="Times New Roman" w:eastAsia="Times New Roman" w:hAnsi="Times New Roman"/>
          <w:sz w:val="21"/>
          <w:szCs w:val="21"/>
          <w:color w:val="auto"/>
          <w:vertAlign w:val="superscript"/>
        </w:rPr>
      </w:pPr>
    </w:p>
    <w:p>
      <w:pPr>
        <w:ind w:left="260" w:right="460" w:hanging="251"/>
        <w:spacing w:after="0" w:line="215" w:lineRule="auto"/>
        <w:tabs>
          <w:tab w:leader="none" w:pos="299"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restructuring expenses recorded during the nine months ended September 30, 2026 and 2025 related primarily to severance, business optimization and other related costs associated with the Company’s restructuring program.</w:t>
      </w:r>
    </w:p>
    <w:p>
      <w:pPr>
        <w:ind w:left="280" w:hanging="271"/>
        <w:spacing w:after="0" w:line="228" w:lineRule="auto"/>
        <w:tabs>
          <w:tab w:leader="none" w:pos="28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Amortization of intangibles related to intangibles acquired as part of the Company’s acquisition of PTx Trimble.</w:t>
      </w:r>
    </w:p>
    <w:p>
      <w:pPr>
        <w:spacing w:after="0" w:line="37" w:lineRule="exact"/>
        <w:rPr>
          <w:rFonts w:ascii="Times New Roman" w:cs="Times New Roman" w:eastAsia="Times New Roman" w:hAnsi="Times New Roman"/>
          <w:sz w:val="21"/>
          <w:szCs w:val="21"/>
          <w:color w:val="auto"/>
          <w:vertAlign w:val="superscript"/>
        </w:rPr>
      </w:pPr>
    </w:p>
    <w:p>
      <w:pPr>
        <w:ind w:left="260" w:right="40" w:hanging="251"/>
        <w:spacing w:after="0" w:line="229" w:lineRule="auto"/>
        <w:tabs>
          <w:tab w:leader="none" w:pos="299"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transaction-related costs recorded during the nine months ended September 30, 2026 related to the Company’s divestiture of the majority of its G&amp;P business. The transaction-related costs recorded during the nine months ended September 30, 2025 related to the Company’s divestiture of the majority of its G&amp;P business and the formation of the PTx Trimble joint venture.</w:t>
      </w:r>
    </w:p>
    <w:p>
      <w:pPr>
        <w:spacing w:after="0" w:line="2" w:lineRule="exact"/>
        <w:rPr>
          <w:rFonts w:ascii="Times New Roman" w:cs="Times New Roman" w:eastAsia="Times New Roman" w:hAnsi="Times New Roman"/>
          <w:sz w:val="21"/>
          <w:szCs w:val="21"/>
          <w:color w:val="auto"/>
          <w:vertAlign w:val="superscript"/>
        </w:rPr>
      </w:pPr>
    </w:p>
    <w:p>
      <w:pPr>
        <w:ind w:left="300" w:hanging="291"/>
        <w:spacing w:after="0" w:line="228" w:lineRule="auto"/>
        <w:tabs>
          <w:tab w:leader="none" w:pos="300"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impairment charges recorded during the nine months ended September 30, 2026 and 2025 primarily related to the impairment of certain other assets.</w:t>
      </w:r>
    </w:p>
    <w:p>
      <w:pPr>
        <w:spacing w:after="0" w:line="37" w:lineRule="exact"/>
        <w:rPr>
          <w:rFonts w:ascii="Times New Roman" w:cs="Times New Roman" w:eastAsia="Times New Roman" w:hAnsi="Times New Roman"/>
          <w:sz w:val="21"/>
          <w:szCs w:val="21"/>
          <w:color w:val="auto"/>
          <w:vertAlign w:val="superscript"/>
        </w:rPr>
      </w:pPr>
    </w:p>
    <w:p>
      <w:pPr>
        <w:ind w:left="260" w:right="580" w:hanging="251"/>
        <w:spacing w:after="0" w:line="222" w:lineRule="auto"/>
        <w:tabs>
          <w:tab w:leader="none" w:pos="299"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loss on sale of business recorded during the nine months ended September 30, 2025 related to the finalization of the preliminary working capital and other adjustments related to the sale of the majority of the Company's G&amp;P business.</w:t>
      </w:r>
    </w:p>
    <w:p>
      <w:pPr>
        <w:spacing w:after="0" w:line="20" w:lineRule="exact"/>
        <w:rPr>
          <w:rFonts w:ascii="Times New Roman" w:cs="Times New Roman" w:eastAsia="Times New Roman" w:hAnsi="Times New Roman"/>
          <w:sz w:val="21"/>
          <w:szCs w:val="21"/>
          <w:color w:val="auto"/>
          <w:vertAlign w:val="superscript"/>
        </w:rPr>
      </w:pPr>
    </w:p>
    <w:p>
      <w:pPr>
        <w:jc w:val="both"/>
        <w:ind w:left="260" w:hanging="251"/>
        <w:spacing w:after="0" w:line="231" w:lineRule="auto"/>
        <w:tabs>
          <w:tab w:leader="none" w:pos="302"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the nine months ended September 30, 2026, the Company divested its interests in its Canadian finance joint venture. Foreign currency translation impacts since inception of the finance joint venture previously recognized within “Accumulated other comprehensive loss” were recorded within “Other expense (income), net” in the Company’s Condensed Consolidated Statements of Operations.</w:t>
      </w:r>
    </w:p>
    <w:p>
      <w:pPr>
        <w:spacing w:after="0" w:line="20" w:lineRule="exact"/>
        <w:rPr>
          <w:rFonts w:ascii="Times New Roman" w:cs="Times New Roman" w:eastAsia="Times New Roman" w:hAnsi="Times New Roman"/>
          <w:sz w:val="21"/>
          <w:szCs w:val="21"/>
          <w:color w:val="auto"/>
          <w:vertAlign w:val="superscript"/>
        </w:rPr>
      </w:pPr>
    </w:p>
    <w:p>
      <w:pPr>
        <w:ind w:left="260" w:right="20" w:hanging="251"/>
        <w:spacing w:after="0" w:line="237" w:lineRule="auto"/>
        <w:tabs>
          <w:tab w:leader="none" w:pos="299"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The gain on sale of investment in affiliate recorded during the nine months ended September 30, 2025 related to the sale of the Company’s ownership interest in TAFE. Foreign currency translation impacts since the inception of the investment in affiliate previously recognized within “Accumulated other comprehensive loss” were recorded within “Other expense (income), net” in the Company’s Condensed Consolidated Statement of Operations.</w:t>
      </w:r>
    </w:p>
    <w:p>
      <w:pPr>
        <w:spacing w:after="0" w:line="19" w:lineRule="exact"/>
        <w:rPr>
          <w:rFonts w:ascii="Times New Roman" w:cs="Times New Roman" w:eastAsia="Times New Roman" w:hAnsi="Times New Roman"/>
          <w:sz w:val="21"/>
          <w:szCs w:val="21"/>
          <w:color w:val="auto"/>
          <w:vertAlign w:val="superscript"/>
        </w:rPr>
      </w:pPr>
    </w:p>
    <w:p>
      <w:pPr>
        <w:ind w:left="260" w:right="320" w:hanging="251"/>
        <w:spacing w:after="0" w:line="239" w:lineRule="auto"/>
        <w:tabs>
          <w:tab w:leader="none" w:pos="302" w:val="left"/>
        </w:tabs>
        <w:numPr>
          <w:ilvl w:val="0"/>
          <w:numId w:val="12"/>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During the nine months ended September 30, 2026, the Company received a refund resulting from a favorable resolution related to a prior settlement under the Brazilian government’s “Litigation Zero” tax amnesty program. During the nine months ended September 30, 2026 and 2025, the Company’s income tax provision included a $4.0 million net tax expense related to the refinement of estimated state tax benefits previously recognized in connection with the 2025 legal entity reorganization and a $259.9 million net tax benefit related to a legal entity reorganization, respectively.</w:t>
      </w:r>
    </w:p>
    <w:p>
      <w:pPr>
        <w:sectPr>
          <w:pgSz w:w="11900" w:h="16838" w:orient="portrait"/>
          <w:cols w:equalWidth="0" w:num="1">
            <w:col w:w="11160"/>
          </w:cols>
          <w:pgMar w:left="400" w:top="985" w:right="339" w:bottom="1440" w:gutter="0" w:footer="0" w:header="0"/>
        </w:sectPr>
      </w:pPr>
    </w:p>
    <w:bookmarkStart w:id="19" w:name="page20"/>
    <w:bookmarkEnd w:id="19"/>
    <w:p>
      <w:pPr>
        <w:ind w:right="540" w:firstLine="194"/>
        <w:spacing w:after="0" w:line="283" w:lineRule="auto"/>
        <w:rPr>
          <w:sz w:val="20"/>
          <w:szCs w:val="20"/>
          <w:color w:val="auto"/>
        </w:rPr>
      </w:pPr>
      <w:r>
        <w:rPr>
          <w:rFonts w:ascii="Times New Roman" w:cs="Times New Roman" w:eastAsia="Times New Roman" w:hAnsi="Times New Roman"/>
          <w:sz w:val="20"/>
          <w:szCs w:val="20"/>
          <w:color w:val="auto"/>
        </w:rPr>
        <w:t>The following is a reconciliation of adjusted operating margin for the three and nine months ended September 30, 2026 and 2025 (in millions, except margin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0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300" w:type="dxa"/>
            <w:vAlign w:val="bottom"/>
          </w:tcPr>
          <w:p>
            <w:pPr>
              <w:spacing w:after="0"/>
              <w:rPr>
                <w:sz w:val="20"/>
                <w:szCs w:val="20"/>
                <w:color w:val="auto"/>
              </w:rPr>
            </w:pPr>
          </w:p>
        </w:tc>
        <w:tc>
          <w:tcPr>
            <w:tcW w:w="322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37"/>
        </w:trPr>
        <w:tc>
          <w:tcPr>
            <w:tcW w:w="40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2,262.5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2,476.3</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7,215.1</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7,161.8</w:t>
            </w:r>
          </w:p>
        </w:tc>
      </w:tr>
      <w:tr>
        <w:trPr>
          <w:trHeight w:val="250"/>
        </w:trPr>
        <w:tc>
          <w:tcPr>
            <w:tcW w:w="4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r>
      <w:tr>
        <w:trPr>
          <w:trHeight w:val="243"/>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151.6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337.5</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365.0</w:t>
            </w:r>
          </w:p>
        </w:tc>
      </w:tr>
      <w:tr>
        <w:trPr>
          <w:trHeight w:val="243"/>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income from operations</w:t>
            </w:r>
            <w:r>
              <w:rPr>
                <w:rFonts w:ascii="Times New Roman" w:cs="Times New Roman" w:eastAsia="Times New Roman" w:hAnsi="Times New Roman"/>
                <w:sz w:val="10"/>
                <w:szCs w:val="10"/>
                <w:color w:val="auto"/>
              </w:rPr>
              <w:t>(1)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185.0</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416.0</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485.9</w:t>
            </w:r>
          </w:p>
        </w:tc>
      </w:tr>
      <w:tr>
        <w:trPr>
          <w:trHeight w:val="237"/>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r>
              <w:rPr>
                <w:rFonts w:ascii="Times New Roman" w:cs="Times New Roman" w:eastAsia="Times New Roman" w:hAnsi="Times New Roman"/>
                <w:sz w:val="10"/>
                <w:szCs w:val="10"/>
                <w:color w:val="auto"/>
              </w:rPr>
              <w:t>(2)</w:t>
            </w:r>
          </w:p>
        </w:tc>
        <w:tc>
          <w:tcPr>
            <w:tcW w:w="2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43"/>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Adjusted operating margin</w:t>
            </w:r>
            <w:r>
              <w:rPr>
                <w:rFonts w:ascii="Times New Roman" w:cs="Times New Roman" w:eastAsia="Times New Roman" w:hAnsi="Times New Roman"/>
                <w:sz w:val="10"/>
                <w:szCs w:val="10"/>
                <w:color w:val="auto"/>
              </w:rPr>
              <w:t>(2)</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6.8 %</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w:t>
      </w:r>
    </w:p>
    <w:p>
      <w:pPr>
        <w:spacing w:after="0" w:line="14" w:lineRule="exact"/>
        <w:rPr>
          <w:sz w:val="20"/>
          <w:szCs w:val="20"/>
          <w:color w:val="auto"/>
        </w:rPr>
      </w:pPr>
    </w:p>
    <w:p>
      <w:pPr>
        <w:ind w:left="380" w:hanging="291"/>
        <w:spacing w:after="0"/>
        <w:tabs>
          <w:tab w:leader="none" w:pos="38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Refer to the previous table for the reconciliation of income from operations to adjusted income from operations.</w:t>
      </w:r>
    </w:p>
    <w:p>
      <w:pPr>
        <w:spacing w:after="0" w:line="37" w:lineRule="exact"/>
        <w:rPr>
          <w:rFonts w:ascii="Times New Roman" w:cs="Times New Roman" w:eastAsia="Times New Roman" w:hAnsi="Times New Roman"/>
          <w:sz w:val="21"/>
          <w:szCs w:val="21"/>
          <w:color w:val="auto"/>
          <w:vertAlign w:val="superscript"/>
        </w:rPr>
      </w:pPr>
    </w:p>
    <w:p>
      <w:pPr>
        <w:ind w:left="340" w:right="340" w:hanging="251"/>
        <w:spacing w:after="0" w:line="215" w:lineRule="auto"/>
        <w:tabs>
          <w:tab w:leader="none" w:pos="382"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Operating margin is defined as the ratio of income from operations divided by net sales. Adjusted operating margin is defined as the ratio of adjusted income from operations divided by net sales.</w:t>
      </w:r>
    </w:p>
    <w:p>
      <w:pPr>
        <w:spacing w:after="0" w:line="253" w:lineRule="exact"/>
        <w:rPr>
          <w:sz w:val="20"/>
          <w:szCs w:val="20"/>
          <w:color w:val="auto"/>
        </w:rPr>
      </w:pPr>
    </w:p>
    <w:p>
      <w:pPr>
        <w:ind w:right="140" w:firstLine="194"/>
        <w:spacing w:after="0" w:line="258" w:lineRule="auto"/>
        <w:rPr>
          <w:sz w:val="20"/>
          <w:szCs w:val="20"/>
          <w:color w:val="auto"/>
        </w:rPr>
      </w:pPr>
      <w:r>
        <w:rPr>
          <w:rFonts w:ascii="Times New Roman" w:cs="Times New Roman" w:eastAsia="Times New Roman" w:hAnsi="Times New Roman"/>
          <w:sz w:val="20"/>
          <w:szCs w:val="20"/>
          <w:color w:val="auto"/>
        </w:rPr>
        <w:t>The Company does not provide a quantitative reconciliation of forward-looking, non-GAAP financial measures to the most directly comparable GAAP financial measure because it is difficult to reliably predict or estimate the relevant components without unreasonable effort due to future uncertainties that may potentially have a significant impact on such calculations and providing them may imply a degree of precision that would be confusing or potentially misleading.</w:t>
      </w:r>
    </w:p>
    <w:p>
      <w:pPr>
        <w:sectPr>
          <w:pgSz w:w="11900" w:h="16838" w:orient="portrait"/>
          <w:cols w:equalWidth="0" w:num="1">
            <w:col w:w="11240"/>
          </w:cols>
          <w:pgMar w:left="320" w:top="927" w:right="339" w:bottom="1440" w:gutter="0" w:footer="0" w:header="0"/>
        </w:sectPr>
      </w:pPr>
    </w:p>
    <w:bookmarkStart w:id="20" w:name="page21"/>
    <w:bookmarkEnd w:id="20"/>
    <w:p>
      <w:pPr>
        <w:ind w:right="520" w:firstLine="194"/>
        <w:spacing w:after="0" w:line="283" w:lineRule="auto"/>
        <w:rPr>
          <w:sz w:val="20"/>
          <w:szCs w:val="20"/>
          <w:color w:val="auto"/>
        </w:rPr>
      </w:pPr>
      <w:r>
        <w:rPr>
          <w:rFonts w:ascii="Times New Roman" w:cs="Times New Roman" w:eastAsia="Times New Roman" w:hAnsi="Times New Roman"/>
          <w:sz w:val="20"/>
          <w:szCs w:val="20"/>
          <w:color w:val="auto"/>
        </w:rPr>
        <w:t>The following tables set forth, for the three and nine months ended September 30, 2026 and 2025, the impact to net sales of currency translation by geographical segment (in millions, except percentages):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6"/>
          </w:tcPr>
          <w:p>
            <w:pPr>
              <w:jc w:val="right"/>
              <w:ind w:right="53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00" w:type="dxa"/>
            <w:vAlign w:val="bottom"/>
          </w:tcPr>
          <w:p>
            <w:pPr>
              <w:spacing w:after="0"/>
              <w:rPr>
                <w:sz w:val="20"/>
                <w:szCs w:val="20"/>
                <w:color w:val="auto"/>
              </w:rPr>
            </w:pPr>
          </w:p>
        </w:tc>
        <w:tc>
          <w:tcPr>
            <w:tcW w:w="25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auto"/>
              </w:rPr>
              <w:t>Change due to currency translation</w:t>
            </w:r>
          </w:p>
        </w:tc>
      </w:tr>
      <w:tr>
        <w:trPr>
          <w:trHeight w:val="191"/>
        </w:trPr>
        <w:tc>
          <w:tcPr>
            <w:tcW w:w="4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color w:val="auto"/>
              </w:rPr>
              <w:t>% change from</w:t>
            </w: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4"/>
        </w:trPr>
        <w:tc>
          <w:tcPr>
            <w:tcW w:w="47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34.8 %</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Latin America</w:t>
            </w:r>
            <w:r>
              <w:rPr>
                <w:rFonts w:ascii="Times New Roman" w:cs="Times New Roman" w:eastAsia="Times New Roman" w:hAnsi="Times New Roman"/>
                <w:sz w:val="10"/>
                <w:szCs w:val="10"/>
                <w:color w:val="auto"/>
              </w:rPr>
              <w:t>(1)</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Europe/Middle East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1,613.8</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Asia/Pacific/Africa</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13.8 %</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62"/>
        </w:trPr>
        <w:tc>
          <w:tcPr>
            <w:tcW w:w="47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2,476.3</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w:t>
      </w:r>
    </w:p>
    <w:p>
      <w:pPr>
        <w:spacing w:after="0" w:line="26" w:lineRule="exact"/>
        <w:rPr>
          <w:sz w:val="20"/>
          <w:szCs w:val="20"/>
          <w:color w:val="auto"/>
        </w:rPr>
      </w:pPr>
    </w:p>
    <w:p>
      <w:pPr>
        <w:ind w:left="340" w:right="220" w:hanging="251"/>
        <w:spacing w:after="0" w:line="207" w:lineRule="exact"/>
        <w:tabs>
          <w:tab w:leader="none" w:pos="382"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Effective January 1, 2026, the Company realigned its organizational structure to support its Farmer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First transformation initiatives in North America. As a result, the Company’s Mexico operations were transferred from the North America segment to the South America segment, which was renamed Latin America. Segment information for all prior periods presented has been retrospectively adjusted to reflect this change.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6"/>
          </w:tcPr>
          <w:p>
            <w:pPr>
              <w:jc w:val="right"/>
              <w:ind w:right="57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100" w:type="dxa"/>
            <w:vAlign w:val="bottom"/>
          </w:tcPr>
          <w:p>
            <w:pPr>
              <w:spacing w:after="0"/>
              <w:rPr>
                <w:sz w:val="20"/>
                <w:szCs w:val="20"/>
                <w:color w:val="auto"/>
              </w:rPr>
            </w:pPr>
          </w:p>
        </w:tc>
        <w:tc>
          <w:tcPr>
            <w:tcW w:w="2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Change due to currency translation</w:t>
            </w:r>
          </w:p>
        </w:tc>
      </w:tr>
      <w:tr>
        <w:trPr>
          <w:trHeight w:val="183"/>
        </w:trPr>
        <w:tc>
          <w:tcPr>
            <w:tcW w:w="4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ind w:left="100"/>
              <w:spacing w:after="0" w:line="182" w:lineRule="exact"/>
              <w:rPr>
                <w:sz w:val="20"/>
                <w:szCs w:val="20"/>
                <w:color w:val="auto"/>
              </w:rPr>
            </w:pPr>
            <w:r>
              <w:rPr>
                <w:rFonts w:ascii="Times New Roman" w:cs="Times New Roman" w:eastAsia="Times New Roman" w:hAnsi="Times New Roman"/>
                <w:sz w:val="18"/>
                <w:szCs w:val="18"/>
                <w:color w:val="auto"/>
              </w:rPr>
              <w:t>% change from</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43"/>
        </w:trPr>
        <w:tc>
          <w:tcPr>
            <w:tcW w:w="47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1,123.3</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4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Latin America</w:t>
            </w:r>
            <w:r>
              <w:rPr>
                <w:rFonts w:ascii="Times New Roman" w:cs="Times New Roman" w:eastAsia="Times New Roman" w:hAnsi="Times New Roman"/>
                <w:sz w:val="10"/>
                <w:szCs w:val="10"/>
                <w:color w:val="auto"/>
              </w:rPr>
              <w:t>(1)</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931.9</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4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Europe/Middle East</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4,639.3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4,719.2</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1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43"/>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Asia/Pacific/Africa</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61"/>
        </w:trPr>
        <w:tc>
          <w:tcPr>
            <w:tcW w:w="47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7,215.1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7,161.8</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1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w:t>
      </w:r>
    </w:p>
    <w:p>
      <w:pPr>
        <w:spacing w:after="0" w:line="26" w:lineRule="exact"/>
        <w:rPr>
          <w:sz w:val="20"/>
          <w:szCs w:val="20"/>
          <w:color w:val="auto"/>
        </w:rPr>
      </w:pPr>
    </w:p>
    <w:p>
      <w:pPr>
        <w:ind w:left="340" w:right="220" w:hanging="251"/>
        <w:spacing w:after="0" w:line="207" w:lineRule="exact"/>
        <w:tabs>
          <w:tab w:leader="none" w:pos="382"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Effective January 1, 2026, the Company realigned its organizational structure to support its Farmer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First transformation initiatives in North America. As a result, the Company’s Mexico operations were transferred from the North America segment to the South America segment, which was renamed Latin America. Segment information for all prior periods presented has been retrospectively adjusted to reflect this change.</w:t>
      </w:r>
    </w:p>
    <w:sectPr>
      <w:pgSz w:w="11900" w:h="16838" w:orient="portrait"/>
      <w:cols w:equalWidth="0" w:num="1">
        <w:col w:w="11240"/>
      </w:cols>
      <w:pgMar w:left="320" w:top="117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decimal"/>
      <w:start w:val="4"/>
    </w:lvl>
  </w:abstractNum>
  <w:abstractNum w:abstractNumId="5">
    <w:nsid w:val="216231B"/>
    <w:multiLevelType w:val="hybridMultilevel"/>
    <w:lvl w:ilvl="0">
      <w:lvlJc w:val="left"/>
      <w:lvlText w:val="(%1)"/>
      <w:numFmt w:val="decimal"/>
      <w:start w:val="6"/>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2026-10-29T07:46:16Z</dcterms:created>
  <dcterms:modified xsi:type="dcterms:W3CDTF">2026-10-29T07:46:16Z</dcterms:modified>
</cp:coreProperties>
</file>